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5A54" w14:textId="77777777" w:rsidR="007C3AEC" w:rsidRPr="00A60C20" w:rsidRDefault="007C3AEC" w:rsidP="007C3AEC">
      <w:pPr>
        <w:jc w:val="center"/>
        <w:rPr>
          <w:rFonts w:ascii="Verdana Pro" w:hAnsi="Verdana Pro"/>
          <w:sz w:val="20"/>
          <w:szCs w:val="20"/>
        </w:rPr>
      </w:pPr>
    </w:p>
    <w:p w14:paraId="3FC2F4B9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  <w:r w:rsidRPr="007C3AEC">
        <w:rPr>
          <w:rFonts w:ascii="Verdana Pro" w:hAnsi="Verdana Pro"/>
          <w:sz w:val="20"/>
          <w:szCs w:val="20"/>
          <w:lang w:val="el-GR"/>
        </w:rPr>
        <w:t>Πολιτική αποδοχών και αμοιβών βάσει του άρθρου 450 του Κανονισμού (ΕΕ) 575/2013,του άρθρου 51 του Κανονισμού (ΕΕ) 2033/2019 και των άρθρων 84-87 του Ν.4261/2014.</w:t>
      </w:r>
    </w:p>
    <w:p w14:paraId="35333D7E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09CACDEA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444A33E5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6DB5A045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6BD26D3A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02B53526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7CC495A5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1CADC68B" w14:textId="4B568963" w:rsidR="007C3AEC" w:rsidRPr="003D6C73" w:rsidRDefault="007C3AEC" w:rsidP="007C3AEC">
      <w:pPr>
        <w:jc w:val="right"/>
        <w:rPr>
          <w:rFonts w:ascii="Verdana Pro" w:hAnsi="Verdana Pro"/>
          <w:i/>
          <w:iCs/>
          <w:sz w:val="20"/>
          <w:szCs w:val="20"/>
          <w:lang w:val="el-GR"/>
        </w:rPr>
      </w:pPr>
      <w:r w:rsidRPr="007C3AEC">
        <w:rPr>
          <w:rFonts w:ascii="Verdana Pro" w:hAnsi="Verdana Pro"/>
          <w:i/>
          <w:iCs/>
          <w:sz w:val="20"/>
          <w:szCs w:val="20"/>
          <w:lang w:val="el-GR"/>
        </w:rPr>
        <w:t xml:space="preserve">      Ημερομηνία Αναφοράς: 31 Δεκεμβρίου 202</w:t>
      </w:r>
      <w:r w:rsidR="003D6C75" w:rsidRPr="003D6C73">
        <w:rPr>
          <w:rFonts w:ascii="Verdana Pro" w:hAnsi="Verdana Pro"/>
          <w:i/>
          <w:iCs/>
          <w:sz w:val="20"/>
          <w:szCs w:val="20"/>
          <w:lang w:val="el-GR"/>
        </w:rPr>
        <w:t>4</w:t>
      </w:r>
    </w:p>
    <w:p w14:paraId="51A686C1" w14:textId="77777777" w:rsidR="007C3AEC" w:rsidRPr="007C3AEC" w:rsidRDefault="007C3AEC" w:rsidP="007C3AEC">
      <w:pPr>
        <w:jc w:val="center"/>
        <w:rPr>
          <w:rFonts w:ascii="Verdana Pro" w:hAnsi="Verdana Pro"/>
          <w:sz w:val="20"/>
          <w:szCs w:val="20"/>
          <w:lang w:val="el-GR"/>
        </w:rPr>
      </w:pPr>
    </w:p>
    <w:p w14:paraId="7C8C8628" w14:textId="77777777" w:rsidR="007C3AEC" w:rsidRP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3603A9E3" w14:textId="1A015D1F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415E3B4A" w14:textId="5715553B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68739FFB" w14:textId="36CD6170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001FC5D5" w14:textId="5DF51C12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1F42D860" w14:textId="6273AA13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0A507485" w14:textId="4B92CF15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5A1F3E61" w14:textId="7BA902B3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1DD989B6" w14:textId="3D84C82F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2A008E57" w14:textId="72615C38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1C1BCE87" w14:textId="71CEC005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78208226" w14:textId="122DEEB5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072B55D2" w14:textId="24881861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141C18D5" w14:textId="14F163D2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0B8F2ADC" w14:textId="0E6BFCE9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5FD238F4" w14:textId="1EDFDF54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0D876892" w14:textId="1EC34E5B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45A1BE11" w14:textId="6905772D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11B9F3DC" w14:textId="25CCF1BA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426225E4" w14:textId="4A5473F2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24F0D5C5" w14:textId="4645ABA6" w:rsid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79D6EB46" w14:textId="77777777" w:rsidR="007C3AEC" w:rsidRP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45993EF5" w14:textId="77777777" w:rsidR="007C3AEC" w:rsidRPr="007C3AEC" w:rsidRDefault="007C3AEC" w:rsidP="007C3AEC">
      <w:pPr>
        <w:jc w:val="both"/>
        <w:rPr>
          <w:rFonts w:ascii="Verdana Pro" w:hAnsi="Verdana Pro" w:cs="Calibri"/>
          <w:sz w:val="20"/>
          <w:szCs w:val="20"/>
          <w:lang w:val="el-GR"/>
        </w:rPr>
      </w:pPr>
    </w:p>
    <w:p w14:paraId="23112083" w14:textId="77777777" w:rsidR="007C3AEC" w:rsidRPr="007C3AEC" w:rsidRDefault="007C3AEC" w:rsidP="007C3AEC">
      <w:pPr>
        <w:pStyle w:val="Footer"/>
        <w:jc w:val="center"/>
        <w:rPr>
          <w:rStyle w:val="Hyperlink"/>
          <w:rFonts w:ascii="Verdana Pro" w:eastAsiaTheme="minorHAnsi" w:hAnsi="Verdana Pro" w:cstheme="minorHAnsi"/>
          <w:b/>
          <w:bCs/>
          <w:color w:val="002F30"/>
          <w:sz w:val="20"/>
          <w:szCs w:val="20"/>
          <w:lang w:val="el-GR"/>
        </w:rPr>
      </w:pPr>
      <w:r w:rsidRPr="007C3AEC">
        <w:rPr>
          <w:rStyle w:val="Hyperlink"/>
          <w:rFonts w:ascii="Verdana Pro" w:eastAsiaTheme="minorHAnsi" w:hAnsi="Verdana Pro" w:cstheme="minorHAnsi"/>
          <w:b/>
          <w:bCs/>
          <w:color w:val="002F30"/>
          <w:sz w:val="20"/>
          <w:szCs w:val="20"/>
          <w:lang w:val="el-GR"/>
        </w:rPr>
        <w:t>Πειραιώς Μονοπρόσωπη  Ανώνυμη Εταιρεία Παροχής Επενδυτικών Υπηρεσιών</w:t>
      </w:r>
    </w:p>
    <w:p w14:paraId="6318FD75" w14:textId="77777777" w:rsidR="007C3AEC" w:rsidRPr="007C3AEC" w:rsidRDefault="007C3AEC" w:rsidP="007C3AEC">
      <w:pPr>
        <w:jc w:val="center"/>
        <w:rPr>
          <w:rFonts w:ascii="Verdana Pro" w:hAnsi="Verdana Pro" w:cs="Calibri"/>
          <w:sz w:val="20"/>
          <w:szCs w:val="20"/>
          <w:lang w:val="el-GR"/>
        </w:rPr>
      </w:pPr>
      <w:r w:rsidRPr="007C3AEC">
        <w:rPr>
          <w:rFonts w:ascii="Verdana Pro" w:hAnsi="Verdana Pro" w:cs="Calibri"/>
          <w:iCs/>
          <w:sz w:val="20"/>
          <w:szCs w:val="20"/>
          <w:lang w:val="el-GR"/>
        </w:rPr>
        <w:t xml:space="preserve">Σταδίου 10, </w:t>
      </w:r>
      <w:r w:rsidRPr="007C3AEC">
        <w:rPr>
          <w:rFonts w:ascii="Verdana Pro" w:hAnsi="Verdana Pro" w:cs="Calibri"/>
          <w:sz w:val="20"/>
          <w:szCs w:val="20"/>
          <w:lang w:val="el-GR"/>
        </w:rPr>
        <w:t xml:space="preserve">105 64 Αθήνα, </w:t>
      </w:r>
      <w:proofErr w:type="spellStart"/>
      <w:r w:rsidRPr="007C3AEC">
        <w:rPr>
          <w:rFonts w:ascii="Verdana Pro" w:hAnsi="Verdana Pro" w:cs="Calibri"/>
          <w:sz w:val="20"/>
          <w:szCs w:val="20"/>
          <w:lang w:val="el-GR"/>
        </w:rPr>
        <w:t>Τηλ</w:t>
      </w:r>
      <w:proofErr w:type="spellEnd"/>
      <w:r w:rsidRPr="007C3AEC">
        <w:rPr>
          <w:rFonts w:ascii="Verdana Pro" w:hAnsi="Verdana Pro" w:cs="Calibri"/>
          <w:sz w:val="20"/>
          <w:szCs w:val="20"/>
          <w:lang w:val="el-GR"/>
        </w:rPr>
        <w:t xml:space="preserve">:  +30 210 3354100, </w:t>
      </w:r>
    </w:p>
    <w:p w14:paraId="50C0505D" w14:textId="77777777" w:rsidR="007C3AEC" w:rsidRPr="00A60C20" w:rsidRDefault="007C3AEC" w:rsidP="007C3AEC">
      <w:pPr>
        <w:jc w:val="center"/>
        <w:rPr>
          <w:rFonts w:ascii="Verdana Pro" w:hAnsi="Verdana Pro" w:cs="Calibri"/>
          <w:sz w:val="20"/>
          <w:szCs w:val="20"/>
          <w:lang w:val="fr-FR"/>
        </w:rPr>
      </w:pPr>
      <w:r w:rsidRPr="007C3AEC">
        <w:rPr>
          <w:rFonts w:ascii="Verdana Pro" w:hAnsi="Verdana Pro" w:cs="Calibri"/>
          <w:sz w:val="20"/>
          <w:szCs w:val="20"/>
          <w:lang w:val="el-GR"/>
        </w:rPr>
        <w:t>Ε</w:t>
      </w:r>
      <w:r w:rsidRPr="00A60C20">
        <w:rPr>
          <w:rFonts w:ascii="Verdana Pro" w:hAnsi="Verdana Pro" w:cs="Calibri"/>
          <w:sz w:val="20"/>
          <w:szCs w:val="20"/>
          <w:lang w:val="fr-FR"/>
        </w:rPr>
        <w:t xml:space="preserve">-mail: </w:t>
      </w:r>
      <w:hyperlink r:id="rId9" w:history="1">
        <w:r w:rsidRPr="00A60C20">
          <w:rPr>
            <w:rStyle w:val="Hyperlink"/>
            <w:rFonts w:ascii="Verdana Pro" w:hAnsi="Verdana Pro" w:cs="Calibri"/>
            <w:color w:val="002F30"/>
            <w:sz w:val="20"/>
            <w:szCs w:val="20"/>
            <w:lang w:val="fr-FR"/>
          </w:rPr>
          <w:t>info@piraeus-sec.gr</w:t>
        </w:r>
      </w:hyperlink>
      <w:r w:rsidRPr="00A60C20">
        <w:rPr>
          <w:rFonts w:ascii="Verdana Pro" w:hAnsi="Verdana Pro" w:cs="Calibri"/>
          <w:sz w:val="20"/>
          <w:szCs w:val="20"/>
          <w:lang w:val="fr-FR"/>
        </w:rPr>
        <w:t xml:space="preserve">  http: // </w:t>
      </w:r>
      <w:hyperlink r:id="rId10" w:history="1">
        <w:r w:rsidRPr="00A60C20">
          <w:rPr>
            <w:rStyle w:val="Hyperlink"/>
            <w:rFonts w:ascii="Verdana Pro" w:hAnsi="Verdana Pro" w:cs="Calibri"/>
            <w:color w:val="002F30"/>
            <w:sz w:val="20"/>
            <w:szCs w:val="20"/>
            <w:lang w:val="fr-FR"/>
          </w:rPr>
          <w:t>www.piraeus-sec.gr</w:t>
        </w:r>
      </w:hyperlink>
    </w:p>
    <w:p w14:paraId="7CD7D7F9" w14:textId="37CADECC" w:rsidR="007C3AEC" w:rsidRPr="00A60C20" w:rsidRDefault="007C3AEC" w:rsidP="007C3AEC">
      <w:pPr>
        <w:jc w:val="center"/>
        <w:rPr>
          <w:rFonts w:ascii="Verdana Pro" w:hAnsi="Verdana Pro" w:cs="Calibri"/>
          <w:iCs/>
          <w:sz w:val="20"/>
          <w:szCs w:val="20"/>
          <w:lang w:val="fr-FR"/>
        </w:rPr>
      </w:pPr>
      <w:proofErr w:type="spellStart"/>
      <w:r w:rsidRPr="00A60C20">
        <w:rPr>
          <w:rFonts w:ascii="Verdana Pro" w:hAnsi="Verdana Pro" w:cs="Calibri"/>
          <w:iCs/>
          <w:sz w:val="20"/>
          <w:szCs w:val="20"/>
        </w:rPr>
        <w:t>Αρ</w:t>
      </w:r>
      <w:proofErr w:type="spellEnd"/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Γ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Ε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ΜΗ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 xml:space="preserve">. 1320701000, </w:t>
      </w:r>
      <w:r w:rsidRPr="00A60C20">
        <w:rPr>
          <w:rFonts w:ascii="Verdana Pro" w:hAnsi="Verdana Pro" w:cs="Calibri"/>
          <w:iCs/>
          <w:sz w:val="20"/>
          <w:szCs w:val="20"/>
        </w:rPr>
        <w:t>Α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Φ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Μ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 xml:space="preserve">. : 094285013, </w:t>
      </w:r>
      <w:r w:rsidRPr="00A60C20">
        <w:rPr>
          <w:rFonts w:ascii="Verdana Pro" w:hAnsi="Verdana Pro" w:cs="Calibri"/>
          <w:iCs/>
          <w:sz w:val="20"/>
          <w:szCs w:val="20"/>
        </w:rPr>
        <w:t>Δ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Ο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</w:rPr>
        <w:t>Υ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 xml:space="preserve">. : </w:t>
      </w:r>
      <w:r w:rsidR="009D0CD7">
        <w:rPr>
          <w:rFonts w:ascii="Verdana Pro" w:hAnsi="Verdana Pro" w:cs="Calibri"/>
          <w:iCs/>
          <w:sz w:val="20"/>
          <w:szCs w:val="20"/>
          <w:lang w:val="el-GR"/>
        </w:rPr>
        <w:t>ΚΕ</w:t>
      </w:r>
      <w:r w:rsidR="009D0CD7" w:rsidRPr="009D0CD7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="009D0CD7">
        <w:rPr>
          <w:rFonts w:ascii="Verdana Pro" w:hAnsi="Verdana Pro" w:cs="Calibri"/>
          <w:iCs/>
          <w:sz w:val="20"/>
          <w:szCs w:val="20"/>
          <w:lang w:val="el-GR"/>
        </w:rPr>
        <w:t>ΦΟ</w:t>
      </w:r>
      <w:r w:rsidR="009D0CD7" w:rsidRPr="009D0CD7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="009D0CD7">
        <w:rPr>
          <w:rFonts w:ascii="Verdana Pro" w:hAnsi="Verdana Pro" w:cs="Calibri"/>
          <w:iCs/>
          <w:sz w:val="20"/>
          <w:szCs w:val="20"/>
          <w:lang w:val="el-GR"/>
        </w:rPr>
        <w:t>Δ</w:t>
      </w:r>
      <w:r w:rsidR="009D0CD7" w:rsidRPr="009D0CD7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="009D0CD7">
        <w:rPr>
          <w:rFonts w:ascii="Verdana Pro" w:hAnsi="Verdana Pro" w:cs="Calibri"/>
          <w:iCs/>
          <w:sz w:val="20"/>
          <w:szCs w:val="20"/>
          <w:lang w:val="el-GR"/>
        </w:rPr>
        <w:t>Ε</w:t>
      </w:r>
      <w:r w:rsidR="009D0CD7" w:rsidRPr="009D0CD7">
        <w:rPr>
          <w:rFonts w:ascii="Verdana Pro" w:hAnsi="Verdana Pro" w:cs="Calibri"/>
          <w:iCs/>
          <w:sz w:val="20"/>
          <w:szCs w:val="20"/>
          <w:lang w:val="fr-FR"/>
        </w:rPr>
        <w:t>.</w:t>
      </w:r>
      <w:r w:rsidRPr="00A60C20">
        <w:rPr>
          <w:rFonts w:ascii="Verdana Pro" w:hAnsi="Verdana Pro" w:cs="Calibri"/>
          <w:iCs/>
          <w:sz w:val="20"/>
          <w:szCs w:val="20"/>
          <w:lang w:val="fr-FR"/>
        </w:rPr>
        <w:t xml:space="preserve"> </w:t>
      </w:r>
      <w:r w:rsidRPr="00A60C20">
        <w:rPr>
          <w:rFonts w:ascii="Verdana Pro" w:hAnsi="Verdana Pro" w:cs="Calibri"/>
          <w:iCs/>
          <w:sz w:val="20"/>
          <w:szCs w:val="20"/>
        </w:rPr>
        <w:t>Α</w:t>
      </w:r>
      <w:proofErr w:type="spellStart"/>
      <w:r w:rsidR="009D0CD7">
        <w:rPr>
          <w:rFonts w:ascii="Verdana Pro" w:hAnsi="Verdana Pro" w:cs="Calibri"/>
          <w:iCs/>
          <w:sz w:val="20"/>
          <w:szCs w:val="20"/>
          <w:lang w:val="el-GR"/>
        </w:rPr>
        <w:t>ττικής</w:t>
      </w:r>
      <w:proofErr w:type="spellEnd"/>
      <w:r w:rsidRPr="00A60C20">
        <w:rPr>
          <w:rFonts w:ascii="Verdana Pro" w:hAnsi="Verdana Pro" w:cs="Calibri"/>
          <w:iCs/>
          <w:sz w:val="20"/>
          <w:szCs w:val="20"/>
          <w:lang w:val="fr-FR"/>
        </w:rPr>
        <w:t>,</w:t>
      </w:r>
    </w:p>
    <w:p w14:paraId="7F8563A3" w14:textId="77777777" w:rsidR="007C3AEC" w:rsidRPr="007C3AEC" w:rsidRDefault="007C3AEC" w:rsidP="007C3AEC">
      <w:pPr>
        <w:jc w:val="center"/>
        <w:rPr>
          <w:rFonts w:ascii="Verdana Pro" w:hAnsi="Verdana Pro" w:cs="Calibri"/>
          <w:iCs/>
          <w:sz w:val="20"/>
          <w:szCs w:val="20"/>
          <w:lang w:val="el-GR"/>
        </w:rPr>
      </w:pPr>
      <w:r w:rsidRPr="007C3AEC">
        <w:rPr>
          <w:rFonts w:ascii="Verdana Pro" w:hAnsi="Verdana Pro" w:cs="Calibri"/>
          <w:iCs/>
          <w:sz w:val="20"/>
          <w:szCs w:val="20"/>
          <w:lang w:val="el-GR"/>
        </w:rPr>
        <w:t>Εποπτεύουσα Αρχή: Επιτροπή Κεφαλαιαγοράς</w:t>
      </w:r>
    </w:p>
    <w:p w14:paraId="3B4C71E8" w14:textId="77777777" w:rsidR="007C3AEC" w:rsidRPr="007C3AEC" w:rsidRDefault="007C3AEC" w:rsidP="007C3AEC">
      <w:pPr>
        <w:jc w:val="center"/>
        <w:rPr>
          <w:rFonts w:ascii="Verdana Pro" w:hAnsi="Verdana Pro" w:cs="Calibri"/>
          <w:iCs/>
          <w:sz w:val="20"/>
          <w:szCs w:val="20"/>
          <w:lang w:val="el-GR"/>
        </w:rPr>
      </w:pPr>
      <w:proofErr w:type="spellStart"/>
      <w:r w:rsidRPr="007C3AEC">
        <w:rPr>
          <w:rFonts w:ascii="Verdana Pro" w:hAnsi="Verdana Pro" w:cs="Calibri"/>
          <w:iCs/>
          <w:sz w:val="20"/>
          <w:szCs w:val="20"/>
          <w:lang w:val="el-GR"/>
        </w:rPr>
        <w:t>Αρ</w:t>
      </w:r>
      <w:proofErr w:type="spellEnd"/>
      <w:r w:rsidRPr="007C3AEC">
        <w:rPr>
          <w:rFonts w:ascii="Verdana Pro" w:hAnsi="Verdana Pro" w:cs="Calibri"/>
          <w:iCs/>
          <w:sz w:val="20"/>
          <w:szCs w:val="20"/>
          <w:lang w:val="el-GR"/>
        </w:rPr>
        <w:t>. Αδείας: 3/28/27.12.1989 &amp; 11/473/5.6.2008</w:t>
      </w:r>
    </w:p>
    <w:p w14:paraId="7EBA9756" w14:textId="77777777" w:rsidR="007C3AEC" w:rsidRPr="007C3AEC" w:rsidRDefault="007C3AEC" w:rsidP="007C3AEC">
      <w:pPr>
        <w:jc w:val="center"/>
        <w:rPr>
          <w:rFonts w:ascii="Calibri" w:hAnsi="Calibri" w:cs="Calibri"/>
          <w:iCs/>
          <w:lang w:val="el-GR"/>
        </w:rPr>
      </w:pPr>
    </w:p>
    <w:p w14:paraId="574CB813" w14:textId="77777777" w:rsidR="007C3AEC" w:rsidRPr="007C3AEC" w:rsidRDefault="007C3AEC" w:rsidP="007C3AEC">
      <w:pPr>
        <w:jc w:val="center"/>
        <w:rPr>
          <w:noProof/>
          <w:lang w:val="el-GR"/>
        </w:rPr>
      </w:pPr>
    </w:p>
    <w:p w14:paraId="353E983B" w14:textId="77777777" w:rsidR="007C3AEC" w:rsidRPr="007C3AEC" w:rsidRDefault="007C3AEC" w:rsidP="007C3AEC">
      <w:pPr>
        <w:jc w:val="center"/>
        <w:rPr>
          <w:noProof/>
          <w:lang w:val="el-GR"/>
        </w:rPr>
      </w:pPr>
    </w:p>
    <w:p w14:paraId="29EB4C84" w14:textId="77777777" w:rsidR="00FE7A63" w:rsidRPr="003D6C75" w:rsidRDefault="00FE7A63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</w:p>
    <w:p w14:paraId="22816986" w14:textId="77777777" w:rsidR="00FE7A63" w:rsidRPr="003D6C75" w:rsidRDefault="00FE7A63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</w:p>
    <w:p w14:paraId="500D83B3" w14:textId="77777777" w:rsidR="00FE7A63" w:rsidRPr="003D6C75" w:rsidRDefault="00FE7A63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</w:p>
    <w:p w14:paraId="6C80F82E" w14:textId="77777777" w:rsidR="00FE7A63" w:rsidRPr="003D6C75" w:rsidRDefault="00FE7A63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</w:p>
    <w:p w14:paraId="55ADADFA" w14:textId="77777777" w:rsidR="00FE7A63" w:rsidRPr="003D6C75" w:rsidRDefault="00FE7A63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</w:p>
    <w:p w14:paraId="08684748" w14:textId="77777777" w:rsidR="00FE7A63" w:rsidRPr="003D6C75" w:rsidRDefault="00FE7A63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</w:p>
    <w:p w14:paraId="18ED86E5" w14:textId="02F83DD2" w:rsidR="007C3AEC" w:rsidRPr="007C3AEC" w:rsidRDefault="007C3AEC" w:rsidP="007C3AEC">
      <w:pPr>
        <w:jc w:val="both"/>
        <w:rPr>
          <w:rFonts w:ascii="Verdana Pro" w:hAnsi="Verdana Pro" w:cs="Calibri"/>
          <w:iCs/>
          <w:sz w:val="20"/>
          <w:szCs w:val="20"/>
          <w:lang w:val="el-GR"/>
        </w:rPr>
      </w:pPr>
      <w:r w:rsidRPr="007C3AEC">
        <w:rPr>
          <w:rFonts w:ascii="Verdana Pro" w:hAnsi="Verdana Pro" w:cs="Calibri"/>
          <w:iCs/>
          <w:sz w:val="20"/>
          <w:szCs w:val="20"/>
        </w:rPr>
        <w:t>H</w:t>
      </w:r>
      <w:r w:rsidRPr="007C3AEC">
        <w:rPr>
          <w:rFonts w:ascii="Verdana Pro" w:hAnsi="Verdana Pro" w:cs="Calibri"/>
          <w:iCs/>
          <w:sz w:val="20"/>
          <w:szCs w:val="20"/>
          <w:lang w:val="el-GR"/>
        </w:rPr>
        <w:t xml:space="preserve"> δημοσιοποίηση περιλαμβάνει συνολικές ποσοτικές πληροφορίες σχετικά με τις αποδοχές, με ανάλυση ανά επιχειρηματικό τομέα </w:t>
      </w:r>
    </w:p>
    <w:p w14:paraId="6B5CBD4E" w14:textId="77777777" w:rsidR="007C3AEC" w:rsidRPr="007C3AEC" w:rsidRDefault="007C3AEC" w:rsidP="007C3AEC">
      <w:pPr>
        <w:rPr>
          <w:rFonts w:ascii="Verdana Pro" w:hAnsi="Verdana Pro" w:cs="Calibri"/>
          <w:iCs/>
          <w:sz w:val="18"/>
          <w:szCs w:val="18"/>
          <w:lang w:val="el-GR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1014"/>
        <w:gridCol w:w="1440"/>
        <w:gridCol w:w="1440"/>
        <w:gridCol w:w="1440"/>
        <w:gridCol w:w="1440"/>
        <w:gridCol w:w="1440"/>
        <w:gridCol w:w="1440"/>
      </w:tblGrid>
      <w:tr w:rsidR="00C23AE9" w:rsidRPr="003D6C73" w14:paraId="1C9A23F6" w14:textId="77777777" w:rsidTr="00C23AE9">
        <w:trPr>
          <w:trHeight w:val="300"/>
        </w:trPr>
        <w:tc>
          <w:tcPr>
            <w:tcW w:w="96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4EECD" w14:textId="77777777" w:rsidR="00C23AE9" w:rsidRPr="00C23AE9" w:rsidRDefault="00C23AE9" w:rsidP="00C23AE9">
            <w:pPr>
              <w:jc w:val="center"/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</w:pPr>
            <w:r w:rsidRPr="00C23AE9"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  <w:t>ΣΥΝΟΛΙΚΕΣ ΠΟΣΟΤΙΚΕΣ ΠΛΗΡΟΦΟΡΙΕΣ ΣΧΕΤΙΚΑ ΜΕ ΤΙΣ ΑΠΟΔΟΧΕΣ</w:t>
            </w:r>
          </w:p>
        </w:tc>
      </w:tr>
      <w:tr w:rsidR="00C23AE9" w:rsidRPr="003D6C73" w14:paraId="3A16C557" w14:textId="77777777" w:rsidTr="00C23AE9">
        <w:trPr>
          <w:trHeight w:val="300"/>
        </w:trPr>
        <w:tc>
          <w:tcPr>
            <w:tcW w:w="96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26703" w14:textId="77777777" w:rsidR="00C23AE9" w:rsidRPr="00C23AE9" w:rsidRDefault="00C23AE9" w:rsidP="00C23AE9">
            <w:pPr>
              <w:jc w:val="center"/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</w:pPr>
            <w:r w:rsidRPr="00C23AE9"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  <w:t xml:space="preserve">ΜΕ ΑΝΑΛΥΣΗ ΑΝΑ ΕΠΙΧΕΙΡΗΜΑΤΙΚΟ ΤΟΜΕΑ (§ζ </w:t>
            </w:r>
            <w:proofErr w:type="spellStart"/>
            <w:r w:rsidRPr="00C23AE9"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  <w:t>αρθ</w:t>
            </w:r>
            <w:proofErr w:type="spellEnd"/>
            <w:r w:rsidRPr="00C23AE9"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  <w:t>. 450, ΕΕ 575/2013)</w:t>
            </w:r>
          </w:p>
        </w:tc>
      </w:tr>
      <w:tr w:rsidR="00C23AE9" w:rsidRPr="00C23AE9" w14:paraId="3343B72C" w14:textId="77777777" w:rsidTr="00C23AE9">
        <w:trPr>
          <w:trHeight w:val="315"/>
        </w:trPr>
        <w:tc>
          <w:tcPr>
            <w:tcW w:w="96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D7FFC" w14:textId="77777777" w:rsidR="00C23AE9" w:rsidRPr="00C23AE9" w:rsidRDefault="00C23AE9" w:rsidP="00C23AE9">
            <w:pPr>
              <w:jc w:val="center"/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val="el-GR" w:eastAsia="el-GR"/>
              </w:rPr>
            </w:pPr>
            <w:r w:rsidRPr="00C23AE9">
              <w:rPr>
                <w:rFonts w:ascii="Verdana Pro" w:eastAsia="Times New Roman" w:hAnsi="Verdana Pro" w:cs="Times New Roman"/>
                <w:b/>
                <w:bCs/>
                <w:sz w:val="16"/>
                <w:szCs w:val="16"/>
                <w:lang w:eastAsia="el-GR"/>
              </w:rPr>
              <w:t>ΧΡΗΣΗ 2024</w:t>
            </w:r>
          </w:p>
        </w:tc>
      </w:tr>
      <w:tr w:rsidR="00C23AE9" w:rsidRPr="003D6C73" w14:paraId="13A4BA23" w14:textId="77777777" w:rsidTr="00C23AE9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D78B" w14:textId="77777777" w:rsidR="00C23AE9" w:rsidRPr="00C23AE9" w:rsidRDefault="00C23AE9" w:rsidP="00C23AE9">
            <w:pPr>
              <w:rPr>
                <w:rFonts w:ascii="Calibri" w:eastAsia="Times New Roman" w:hAnsi="Calibri" w:cs="Calibri"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7D10E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Σύνολο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στ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 xml:space="preserve">αθερών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ετήσιων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 xml:space="preserve">   απ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οδοχών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BCC97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  <w:t xml:space="preserve">Σύνολο μεταβλητών ετήσιων αποδοχών ανά επιχειρηματικό τομέα </w:t>
            </w:r>
          </w:p>
        </w:tc>
      </w:tr>
      <w:tr w:rsidR="00C23AE9" w:rsidRPr="00C23AE9" w14:paraId="28DF4487" w14:textId="77777777" w:rsidTr="00C23AE9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59F2A" w14:textId="77777777" w:rsidR="00C23AE9" w:rsidRPr="00C23AE9" w:rsidRDefault="00C23AE9" w:rsidP="00C23AE9">
            <w:pPr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EEEA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Διοίκηση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6CFC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Ανεξάρτητες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Λειτουργίες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Ελέγχου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E1A2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Υπ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οστηρικτικές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Λειτουργίες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AE7C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Διοίκηση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B273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Ανεξάρτητες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Λειτουργίες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Ελέγχου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BE31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Υπ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οστηρικτικές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l-GR"/>
              </w:rPr>
              <w:t>Λειτουργίες</w:t>
            </w:r>
            <w:proofErr w:type="spellEnd"/>
          </w:p>
        </w:tc>
      </w:tr>
      <w:tr w:rsidR="00C23AE9" w:rsidRPr="00C23AE9" w14:paraId="0BCD87CC" w14:textId="77777777" w:rsidTr="00C23A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CA02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Γυν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αίκες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675D6" w14:textId="77777777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54AE" w14:textId="77777777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6B0E" w14:textId="0F77C158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49.21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BDBBE" w14:textId="77777777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D1D4" w14:textId="77777777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88A3" w14:textId="160DA091" w:rsidR="00C23AE9" w:rsidRPr="00C23AE9" w:rsidRDefault="00260460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12.582</w:t>
            </w:r>
          </w:p>
        </w:tc>
      </w:tr>
      <w:tr w:rsidR="00C23AE9" w:rsidRPr="00C23AE9" w14:paraId="191D9E5F" w14:textId="77777777" w:rsidTr="00C23A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F4186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19629" w14:textId="62DEF4AF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282.92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A6C9F" w14:textId="22AB33DD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71.01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05C6" w14:textId="5839A249" w:rsidR="00C23AE9" w:rsidRPr="00C23AE9" w:rsidRDefault="00260460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185</w:t>
            </w:r>
            <w:r w:rsidR="00C23AE9"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65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5A11" w14:textId="272A6EAC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238.711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0F8D" w14:textId="5BF671C8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11.655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51BD" w14:textId="4F32E436" w:rsidR="00C23AE9" w:rsidRPr="00C23AE9" w:rsidRDefault="00260460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35</w:t>
            </w:r>
            <w:r w:rsidR="00C23AE9"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675</w:t>
            </w:r>
          </w:p>
        </w:tc>
      </w:tr>
      <w:tr w:rsidR="00C23AE9" w:rsidRPr="00C23AE9" w14:paraId="46E37E27" w14:textId="77777777" w:rsidTr="00C23AE9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6CC5" w14:textId="77777777" w:rsidR="00C23AE9" w:rsidRPr="00C23AE9" w:rsidRDefault="00C23AE9" w:rsidP="00C23AE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Σύνολο</w:t>
            </w:r>
            <w:proofErr w:type="spellEnd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οδοχών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7544" w14:textId="06925E78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282.92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9848" w14:textId="0242703D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71.01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CF42" w14:textId="36A4B8AD" w:rsidR="00C23AE9" w:rsidRPr="00C23AE9" w:rsidRDefault="00260460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234</w:t>
            </w:r>
            <w:r w:rsidR="00C23AE9"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8</w:t>
            </w:r>
            <w:r w:rsidR="00B178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ED4C" w14:textId="24327E08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238.711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39AE" w14:textId="795F1751" w:rsidR="00C23AE9" w:rsidRPr="00C23AE9" w:rsidRDefault="00C23AE9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11.655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7D1C" w14:textId="4662505E" w:rsidR="00C23AE9" w:rsidRPr="00C23AE9" w:rsidRDefault="00260460" w:rsidP="00C23AE9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48</w:t>
            </w:r>
            <w:r w:rsidR="00C23AE9" w:rsidRPr="00C23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257</w:t>
            </w:r>
          </w:p>
        </w:tc>
      </w:tr>
    </w:tbl>
    <w:p w14:paraId="345734E1" w14:textId="10F6E446" w:rsidR="007C3AEC" w:rsidRDefault="007C3AEC" w:rsidP="007C3AEC">
      <w:pPr>
        <w:rPr>
          <w:rFonts w:ascii="Verdana Pro" w:hAnsi="Verdana Pro"/>
          <w:sz w:val="18"/>
          <w:szCs w:val="18"/>
        </w:rPr>
      </w:pPr>
    </w:p>
    <w:p w14:paraId="16A1AE2B" w14:textId="77777777" w:rsidR="00C23AE9" w:rsidRDefault="00C23AE9" w:rsidP="007C3AEC">
      <w:pPr>
        <w:rPr>
          <w:rFonts w:ascii="Verdana Pro" w:hAnsi="Verdana Pro"/>
          <w:sz w:val="18"/>
          <w:szCs w:val="18"/>
        </w:rPr>
      </w:pPr>
    </w:p>
    <w:p w14:paraId="3D8E7862" w14:textId="77777777" w:rsidR="00C23AE9" w:rsidRDefault="00C23AE9" w:rsidP="007C3AEC">
      <w:pPr>
        <w:rPr>
          <w:rFonts w:ascii="Verdana Pro" w:hAnsi="Verdana Pro"/>
          <w:sz w:val="18"/>
          <w:szCs w:val="18"/>
        </w:rPr>
      </w:pPr>
    </w:p>
    <w:p w14:paraId="152266A6" w14:textId="77777777" w:rsidR="00C23AE9" w:rsidRDefault="00C23AE9" w:rsidP="007C3AEC">
      <w:pPr>
        <w:rPr>
          <w:rFonts w:ascii="Verdana Pro" w:hAnsi="Verdana Pro"/>
          <w:sz w:val="18"/>
          <w:szCs w:val="18"/>
        </w:rPr>
      </w:pPr>
    </w:p>
    <w:p w14:paraId="25408CD1" w14:textId="77777777" w:rsidR="00C23AE9" w:rsidRPr="005C4E97" w:rsidRDefault="00C23AE9" w:rsidP="007C3AEC">
      <w:pPr>
        <w:rPr>
          <w:rFonts w:ascii="Verdana Pro" w:hAnsi="Verdana Pro"/>
          <w:sz w:val="18"/>
          <w:szCs w:val="18"/>
        </w:rPr>
      </w:pPr>
    </w:p>
    <w:p w14:paraId="6AA016D0" w14:textId="1707E835" w:rsidR="007C3AEC" w:rsidRDefault="007C3AEC" w:rsidP="007C3AEC">
      <w:pPr>
        <w:rPr>
          <w:rFonts w:ascii="Verdana Pro" w:hAnsi="Verdana Pro"/>
          <w:sz w:val="18"/>
          <w:szCs w:val="18"/>
        </w:rPr>
      </w:pPr>
    </w:p>
    <w:p w14:paraId="256408D4" w14:textId="77777777" w:rsidR="004D389F" w:rsidRPr="005C4E97" w:rsidRDefault="004D389F" w:rsidP="007C3AEC">
      <w:pPr>
        <w:rPr>
          <w:rFonts w:ascii="Verdana Pro" w:hAnsi="Verdana Pro"/>
          <w:sz w:val="18"/>
          <w:szCs w:val="18"/>
        </w:rPr>
      </w:pPr>
    </w:p>
    <w:p w14:paraId="55EC8AE6" w14:textId="59C8CDAD" w:rsidR="007C3AEC" w:rsidRDefault="007C3AEC" w:rsidP="007C3AEC">
      <w:pPr>
        <w:rPr>
          <w:rFonts w:ascii="Verdana Pro" w:hAnsi="Verdana Pro"/>
          <w:sz w:val="18"/>
          <w:szCs w:val="18"/>
        </w:rPr>
      </w:pPr>
    </w:p>
    <w:p w14:paraId="07875C63" w14:textId="6EF00313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08B2EA30" w14:textId="52CEF7B2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690153B5" w14:textId="72F5441B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4642BB97" w14:textId="09236C65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2F021EAE" w14:textId="7F5FD7B1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1AE2A361" w14:textId="408AF635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2E141FCE" w14:textId="5514DF6D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1CCC3E47" w14:textId="77777777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0C20EF6E" w14:textId="668E0030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70AA183D" w14:textId="4870BE17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283961C8" w14:textId="3C68FEF0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23090964" w14:textId="2CBA10C1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79218444" w14:textId="15DC21D6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390ACF68" w14:textId="6EC39940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37D8573B" w14:textId="0E7565A9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48C9B1CD" w14:textId="7CB6E228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0F0F0CD3" w14:textId="4F6BAA88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7079FFDD" w14:textId="1359C709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76356095" w14:textId="78C73CCC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0E7443F1" w14:textId="1D5F2256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65B4F00B" w14:textId="77777777" w:rsidR="0049762C" w:rsidRDefault="0049762C" w:rsidP="007C3AEC">
      <w:pPr>
        <w:rPr>
          <w:rFonts w:ascii="Verdana Pro" w:hAnsi="Verdana Pro"/>
          <w:sz w:val="18"/>
          <w:szCs w:val="18"/>
        </w:rPr>
      </w:pPr>
    </w:p>
    <w:p w14:paraId="2455EB1B" w14:textId="0F291DD7" w:rsidR="00FE7A63" w:rsidRDefault="00FE7A63" w:rsidP="007C3AEC">
      <w:pPr>
        <w:rPr>
          <w:rFonts w:ascii="Verdana Pro" w:hAnsi="Verdana Pro"/>
          <w:sz w:val="18"/>
          <w:szCs w:val="18"/>
        </w:rPr>
      </w:pPr>
    </w:p>
    <w:p w14:paraId="376A7478" w14:textId="0A02FA00" w:rsidR="00FE7A63" w:rsidRDefault="00FE7A63" w:rsidP="007C3AEC">
      <w:pPr>
        <w:rPr>
          <w:rFonts w:ascii="Verdana Pro" w:hAnsi="Verdana Pro"/>
          <w:sz w:val="18"/>
          <w:szCs w:val="18"/>
        </w:rPr>
      </w:pPr>
    </w:p>
    <w:tbl>
      <w:tblPr>
        <w:tblW w:w="15580" w:type="dxa"/>
        <w:tblLook w:val="04A0" w:firstRow="1" w:lastRow="0" w:firstColumn="1" w:lastColumn="0" w:noHBand="0" w:noVBand="1"/>
      </w:tblPr>
      <w:tblGrid>
        <w:gridCol w:w="2660"/>
        <w:gridCol w:w="1880"/>
        <w:gridCol w:w="2540"/>
        <w:gridCol w:w="1780"/>
        <w:gridCol w:w="960"/>
        <w:gridCol w:w="960"/>
        <w:gridCol w:w="960"/>
        <w:gridCol w:w="960"/>
        <w:gridCol w:w="960"/>
        <w:gridCol w:w="960"/>
        <w:gridCol w:w="960"/>
      </w:tblGrid>
      <w:tr w:rsidR="009F4F25" w:rsidRPr="003D6C73" w14:paraId="6B366EB2" w14:textId="77777777" w:rsidTr="0062716A">
        <w:trPr>
          <w:gridAfter w:val="7"/>
          <w:wAfter w:w="6720" w:type="dxa"/>
          <w:trHeight w:val="1080"/>
        </w:trPr>
        <w:tc>
          <w:tcPr>
            <w:tcW w:w="88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D616D2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bookmarkStart w:id="0" w:name="RANGE!A1:D30"/>
            <w:bookmarkStart w:id="1" w:name="_Hlk159942322"/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lastRenderedPageBreak/>
              <w:t xml:space="preserve">ΣΥΝΟΛΙΚΕΣ ΠΟΣΟΤΙΚΕΣ ΠΛΗΡΟΦΟΡΙΕΣ ΣΧΕΤΙΚΑ ΜΕ ΑΠΟΔΟΧΕΣ ΑΝΑ ΑΝΩΤΕΡΑ ΔΙΕΥΘΥΝΤΙΚΑ ΣΤΕΛΕΧΗ ΚΑΙ ΠΡΟΣΩΠΙΚΟ ΤΟΥ ΟΠΟΙΟΥ ΟΙ ΔΡΑΣΤΗΡΙΟΤΗΤΕΣ ΕΧΟΥΝ ΟΥΣΙΩΔΗ ΑΝΤΙΚΤΥΠΟ ΣΤΟ ΠΡΟΦΙΛ ΚΙΝΔΥΝΟΥ ΤΗΣ ΕΤΑΙΡΕΙΑΣ (§η </w:t>
            </w:r>
            <w:proofErr w:type="spellStart"/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αρθ</w:t>
            </w:r>
            <w:proofErr w:type="spellEnd"/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. 450, ΕΕ 575/2013)     </w:t>
            </w:r>
            <w:bookmarkEnd w:id="0"/>
          </w:p>
        </w:tc>
      </w:tr>
      <w:tr w:rsidR="009F4F25" w:rsidRPr="00A0385B" w14:paraId="4A7C771F" w14:textId="77777777" w:rsidTr="0062716A">
        <w:trPr>
          <w:gridAfter w:val="7"/>
          <w:wAfter w:w="6720" w:type="dxa"/>
          <w:trHeight w:val="285"/>
        </w:trPr>
        <w:tc>
          <w:tcPr>
            <w:tcW w:w="8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419EF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ΧΡΗΣΗ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4</w:t>
            </w:r>
          </w:p>
        </w:tc>
      </w:tr>
      <w:tr w:rsidR="009F4F25" w:rsidRPr="00A0385B" w14:paraId="26158ACD" w14:textId="77777777" w:rsidTr="0062716A">
        <w:trPr>
          <w:gridAfter w:val="7"/>
          <w:wAfter w:w="6720" w:type="dxa"/>
          <w:trHeight w:val="69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B0B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F94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Ανώτερ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α 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28F4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Προσωπικό του οποίου οι ενέργειες έχουν ουσιώδη αντίκτυπο στο προφίλ κινδύνου της Εταιρείας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04C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Σύνολο</w:t>
            </w:r>
            <w:proofErr w:type="spellEnd"/>
          </w:p>
        </w:tc>
      </w:tr>
      <w:tr w:rsidR="009F4F25" w:rsidRPr="00A0385B" w14:paraId="346DCBF2" w14:textId="77777777" w:rsidTr="0062716A">
        <w:trPr>
          <w:gridAfter w:val="7"/>
          <w:wAfter w:w="6720" w:type="dxa"/>
          <w:trHeight w:val="6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AABC6" w14:textId="77777777" w:rsidR="009F4F25" w:rsidRPr="00A0385B" w:rsidRDefault="009F4F25" w:rsidP="006271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817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Διοικητικά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Στελέχη</w:t>
            </w:r>
            <w:proofErr w:type="spellEnd"/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00827" w14:textId="77777777" w:rsidR="009F4F25" w:rsidRPr="00A0385B" w:rsidRDefault="009F4F25" w:rsidP="006271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58A0C" w14:textId="77777777" w:rsidR="009F4F25" w:rsidRPr="00A0385B" w:rsidRDefault="009F4F25" w:rsidP="006271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9F4F25" w:rsidRPr="00A0385B" w14:paraId="1DF01B4E" w14:textId="77777777" w:rsidTr="0062716A">
        <w:trPr>
          <w:gridAfter w:val="7"/>
          <w:wAfter w:w="6720" w:type="dxa"/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D7B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Αριθμός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Προσω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πικού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127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A6D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35B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8</w:t>
            </w:r>
          </w:p>
        </w:tc>
      </w:tr>
      <w:tr w:rsidR="009F4F25" w:rsidRPr="003D6C73" w14:paraId="54298002" w14:textId="77777777" w:rsidTr="0062716A">
        <w:trPr>
          <w:gridAfter w:val="7"/>
          <w:wAfter w:w="6720" w:type="dxa"/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470B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Ποσά αμοιβής με διάκριση σε 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4450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E7B0AA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1507C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l-GR"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F4F25" w:rsidRPr="00A0385B" w14:paraId="603D0CC0" w14:textId="77777777" w:rsidTr="0062716A">
        <w:trPr>
          <w:gridAfter w:val="7"/>
          <w:wAfter w:w="6720" w:type="dxa"/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BA3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Στ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αθερές Απ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οδοχές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F87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282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927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AFC11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305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886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D99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88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813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257FF50F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1EB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AD05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75C5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49.219 €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55E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49.219 €</w:t>
            </w:r>
          </w:p>
        </w:tc>
      </w:tr>
      <w:tr w:rsidR="009F4F25" w:rsidRPr="00A0385B" w14:paraId="2090C772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0E6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4F1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82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927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D0E5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56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667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BEC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539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594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4942EF00" w14:textId="77777777" w:rsidTr="0062716A">
        <w:trPr>
          <w:gridAfter w:val="7"/>
          <w:wAfter w:w="6720" w:type="dxa"/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156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proofErr w:type="gram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Μετ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αβλητές  Απ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οδοχές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60EA" w14:textId="6FA1C2FD" w:rsidR="009F4F25" w:rsidRPr="00A0385B" w:rsidRDefault="00B1782E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238</w:t>
            </w:r>
            <w:r w:rsidR="009F4F25"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7</w:t>
            </w:r>
            <w:r w:rsid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11</w:t>
            </w:r>
            <w:r w:rsidR="009F4F25"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FC4D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5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9.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9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FC2D9" w14:textId="4F1B9F09" w:rsidR="009F4F25" w:rsidRPr="00A0385B" w:rsidRDefault="00B1782E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298</w:t>
            </w:r>
            <w:r w:rsidR="009F4F25"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  <w:r w:rsid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23</w:t>
            </w:r>
            <w:r w:rsidR="009F4F25"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7F4EBE6E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A99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EB5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B336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12.582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1B1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12.582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61054C31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7EF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EBC7E" w14:textId="7666ABDC" w:rsidR="009F4F25" w:rsidRPr="00A0385B" w:rsidRDefault="00B1782E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238</w:t>
            </w:r>
            <w:r w:rsidR="009F4F25"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  <w:r w:rsidR="009F4F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  <w:r w:rsidR="009F4F25"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1F88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1DB5" w14:textId="6C03DB48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  <w:r w:rsidR="00B178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86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 w:rsidR="00B178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041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44ABBDB9" w14:textId="77777777" w:rsidTr="0062716A">
        <w:trPr>
          <w:gridAfter w:val="7"/>
          <w:wAfter w:w="6720" w:type="dxa"/>
          <w:trHeight w:val="6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F0C9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Ποσά και μορφές μεταβλητής αμοιβής με διάκριση σε: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0199" w14:textId="723FCCD2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C155C" w14:textId="14A17D7E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C4EE7" w14:textId="12580AB1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9F4F25" w:rsidRPr="00A0385B" w14:paraId="31E3FBA1" w14:textId="77777777" w:rsidTr="0062716A">
        <w:trPr>
          <w:gridAfter w:val="7"/>
          <w:wAfter w:w="6720" w:type="dxa"/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38D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Μετρητά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CF9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97</w:t>
            </w: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836</w:t>
            </w: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62C4F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59</w:t>
            </w: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912</w:t>
            </w: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C4F1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157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748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2FAD6E18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1F2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5EC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CC2B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12.582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60EA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12.582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7168C208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5C7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3C7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97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836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D9FC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68DC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166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4B2D0229" w14:textId="77777777" w:rsidTr="0062716A">
        <w:trPr>
          <w:gridAfter w:val="7"/>
          <w:wAfter w:w="6720" w:type="dxa"/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8B17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Μετοχές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956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60</w:t>
            </w: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375</w:t>
            </w: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2D016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B12C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71E0B4B7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C7D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7BD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3F26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7003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2838082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1D62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171C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7CB4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EE5D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€</w:t>
            </w:r>
          </w:p>
        </w:tc>
      </w:tr>
      <w:tr w:rsidR="009F4F25" w:rsidRPr="00A0385B" w14:paraId="30DB70D5" w14:textId="77777777" w:rsidTr="0062716A">
        <w:trPr>
          <w:gridAfter w:val="7"/>
          <w:wAfter w:w="6720" w:type="dxa"/>
          <w:trHeight w:val="5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BF2F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l-GR" w:eastAsia="el-GR"/>
              </w:rPr>
              <w:t>Χρηματοπιστωτικά μέσα συνδεδεμένα με μετοχές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649C" w14:textId="35C24834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49C26" w14:textId="5BB37622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731B9" w14:textId="0EC7E9F8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9F4F25" w:rsidRPr="00A0385B" w14:paraId="4EE5A50C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610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79C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9A95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1DF0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55E6A20E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9C3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E88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7A19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F052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7BFCA32A" w14:textId="77777777" w:rsidTr="0062716A">
        <w:trPr>
          <w:gridAfter w:val="7"/>
          <w:wAfter w:w="6720" w:type="dxa"/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E61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Άλλες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 xml:space="preserve"> Κα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τηγορίες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465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9673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9A85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A0A1C8B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88F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FCF7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5D5C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60D5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49AE6140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CFD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790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68FB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D2E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226C057B" w14:textId="77777777" w:rsidTr="0062716A">
        <w:trPr>
          <w:gridAfter w:val="7"/>
          <w:wAfter w:w="6720" w:type="dxa"/>
          <w:trHeight w:val="5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A7CC" w14:textId="77777777" w:rsidR="009F4F25" w:rsidRPr="009F4F25" w:rsidRDefault="009F4F25" w:rsidP="006271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Ποσά Αναβαλλόμενων Αμοιβών με διάκριση σε: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04E4" w14:textId="569ED974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F791D" w14:textId="270916FA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64905" w14:textId="22C33483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9F4F25" w:rsidRPr="00A0385B" w14:paraId="19EFE5F9" w14:textId="77777777" w:rsidTr="0062716A">
        <w:trPr>
          <w:gridAfter w:val="7"/>
          <w:wAfter w:w="6720" w:type="dxa"/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B102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Κα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τοχυρωμένες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7AB8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80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5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BD0C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441D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00 €</w:t>
            </w:r>
          </w:p>
        </w:tc>
      </w:tr>
      <w:tr w:rsidR="009F4F25" w:rsidRPr="00A0385B" w14:paraId="01B2326C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52E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52C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F03C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14D6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50C6FD9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04D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A15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68E4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C3E3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80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00 €</w:t>
            </w:r>
          </w:p>
        </w:tc>
      </w:tr>
      <w:tr w:rsidR="009F4F25" w:rsidRPr="00A0385B" w14:paraId="2F6DDB2C" w14:textId="77777777" w:rsidTr="0062716A">
        <w:trPr>
          <w:gridAfter w:val="7"/>
          <w:wAfter w:w="6720" w:type="dxa"/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887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Μη</w:t>
            </w:r>
            <w:proofErr w:type="spellEnd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κα</w:t>
            </w:r>
            <w:proofErr w:type="spellStart"/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τοχυρωμένες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EC4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B890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C47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760C9BED" w14:textId="77777777" w:rsidTr="0062716A">
        <w:trPr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02B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4D1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C50D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4ECC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E83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3501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0B7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3ECB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C211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B96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9B89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F4F25" w:rsidRPr="00A0385B" w14:paraId="7CB22C12" w14:textId="77777777" w:rsidTr="0062716A">
        <w:trPr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C60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39A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B9D66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3E3F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83A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8B96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E53D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36CA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D73A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7880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BBB0" w14:textId="77777777" w:rsidR="009F4F25" w:rsidRPr="00A0385B" w:rsidRDefault="009F4F25" w:rsidP="00627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bookmarkEnd w:id="1"/>
      <w:tr w:rsidR="009F4F25" w:rsidRPr="00A0385B" w14:paraId="5AABF999" w14:textId="77777777" w:rsidTr="0062716A">
        <w:trPr>
          <w:gridAfter w:val="7"/>
          <w:wAfter w:w="6720" w:type="dxa"/>
          <w:trHeight w:val="178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A646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lastRenderedPageBreak/>
              <w:t>Ποσά αναβαλλόμενων αμοιβών τα οποία έχουν αποφασισθεί να καταβληθούν στο οικονομικό έτος και που μεταβλήθηκαν λόγω αναπροσαρμογών βάσει επίδοσης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AF7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082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822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4B86443B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491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970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AA13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6BBF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2A2DC58A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602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88E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29E6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457E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42588FA0" w14:textId="77777777" w:rsidTr="0062716A">
        <w:trPr>
          <w:gridAfter w:val="7"/>
          <w:wAfter w:w="6720" w:type="dxa"/>
          <w:trHeight w:val="141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F994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Νέες Πληρωμές λόγω πρόσληψης και αποχώρησης που πραγματοποιήθηκαν στο έτος και ο αντίστοιχος αριθμός δικαιούχων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875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257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F7F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571946FE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AB40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842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61797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DD32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EA80F28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6C5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3F4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AD31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232E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7B099860" w14:textId="77777777" w:rsidTr="0062716A">
        <w:trPr>
          <w:gridAfter w:val="7"/>
          <w:wAfter w:w="6720" w:type="dxa"/>
          <w:trHeight w:val="178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2469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Ποσά αποζημιώσεων λόγω αποχώρησης που καταβλήθηκαν στο έτος, ο αριθμός των δικαιούχων και τι υψηλότερο ποσό που </w:t>
            </w:r>
            <w:proofErr w:type="spellStart"/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κατεβλήθη</w:t>
            </w:r>
            <w:proofErr w:type="spellEnd"/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σε ένα μεμονωμένο πρόσωπο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907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C65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0.00 €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D030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0.00 €</w:t>
            </w:r>
          </w:p>
        </w:tc>
      </w:tr>
      <w:tr w:rsidR="009F4F25" w:rsidRPr="00A0385B" w14:paraId="026BD342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7989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445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92CE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601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4280C3AC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455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2DE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F5EF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0.00 €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B3EB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0.00 €</w:t>
            </w:r>
          </w:p>
        </w:tc>
      </w:tr>
      <w:tr w:rsidR="009F4F25" w:rsidRPr="00A0385B" w14:paraId="106B3B60" w14:textId="77777777" w:rsidTr="0062716A">
        <w:trPr>
          <w:gridAfter w:val="7"/>
          <w:wAfter w:w="6720" w:type="dxa"/>
          <w:trHeight w:val="5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F803D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l-GR" w:eastAsia="el-GR"/>
              </w:rPr>
              <w:t xml:space="preserve">Υψηλότερο ποσό που </w:t>
            </w:r>
            <w:proofErr w:type="spellStart"/>
            <w:r w:rsidRPr="009F4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l-GR" w:eastAsia="el-GR"/>
              </w:rPr>
              <w:t>κατεβλήθη</w:t>
            </w:r>
            <w:proofErr w:type="spellEnd"/>
            <w:r w:rsidRPr="009F4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l-GR" w:eastAsia="el-GR"/>
              </w:rPr>
              <w:t xml:space="preserve"> σε ένα πρόσωπο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8D6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9BD0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0.00 €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B05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C108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l-GR"/>
              </w:rPr>
              <w:t>0.00 €</w:t>
            </w:r>
          </w:p>
        </w:tc>
      </w:tr>
      <w:tr w:rsidR="009F4F25" w:rsidRPr="00A0385B" w14:paraId="6F11ECC6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17AB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71BC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0F61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CA991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6C0C761C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649D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1981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94F8B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0.00 €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61AB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0.00 €</w:t>
            </w:r>
          </w:p>
        </w:tc>
      </w:tr>
      <w:tr w:rsidR="009F4F25" w:rsidRPr="00A0385B" w14:paraId="786E2322" w14:textId="77777777" w:rsidTr="0062716A">
        <w:trPr>
          <w:gridAfter w:val="7"/>
          <w:wAfter w:w="6720" w:type="dxa"/>
          <w:trHeight w:val="7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0BE1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Αριθμός των ατόμων που αμείβονται με τουλάχιστον 1 εκατομμύριο 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EUR</w:t>
            </w: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08C6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56A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2B3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</w:tr>
      <w:tr w:rsidR="009F4F25" w:rsidRPr="00A0385B" w14:paraId="1A6B68ED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D4A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C38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259C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BF10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2473324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0079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FA8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AB4FA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DD3E8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A4CFD29" w14:textId="77777777" w:rsidTr="0062716A">
        <w:trPr>
          <w:gridAfter w:val="7"/>
          <w:wAfter w:w="6720" w:type="dxa"/>
          <w:trHeight w:val="8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A6F9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Αριθμός των ατόμων που αμείβονται από 1 έως 5 εκατομμύρια 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EUR</w:t>
            </w: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6F7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9C8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4D7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</w:tr>
      <w:tr w:rsidR="009F4F25" w:rsidRPr="00A0385B" w14:paraId="75C27FF2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D33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4C6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EF57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CACB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0DA24051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3671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1DB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2FD3B2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92D0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1E89C8EB" w14:textId="77777777" w:rsidTr="0062716A">
        <w:trPr>
          <w:gridAfter w:val="7"/>
          <w:wAfter w:w="6720" w:type="dxa"/>
          <w:trHeight w:val="84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08D1" w14:textId="77777777" w:rsidR="009F4F25" w:rsidRPr="009F4F25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Αριθμός των ατόμων που αμείβονται από 5 εκατομμυρίων </w:t>
            </w: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EUR</w:t>
            </w:r>
            <w:r w:rsidRPr="009F4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και άνω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05E7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C4FC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3FFE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</w:tr>
      <w:tr w:rsidR="009F4F25" w:rsidRPr="00A0385B" w14:paraId="45E78217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AA73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Γυν</w:t>
            </w:r>
            <w:proofErr w:type="spellEnd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αίκες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D7C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259D0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C51B5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  <w:tr w:rsidR="009F4F25" w:rsidRPr="00A0385B" w14:paraId="2F192920" w14:textId="77777777" w:rsidTr="0062716A">
        <w:trPr>
          <w:gridAfter w:val="7"/>
          <w:wAfter w:w="6720" w:type="dxa"/>
          <w:trHeight w:val="28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979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Άνδρες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DFD6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4CAC4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3999F" w14:textId="77777777" w:rsidR="009F4F25" w:rsidRPr="00A0385B" w:rsidRDefault="009F4F25" w:rsidP="0062716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03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0 €</w:t>
            </w:r>
          </w:p>
        </w:tc>
      </w:tr>
    </w:tbl>
    <w:p w14:paraId="734B8B96" w14:textId="77777777" w:rsidR="009F4F25" w:rsidRDefault="009F4F25" w:rsidP="009F4F25"/>
    <w:p w14:paraId="062A7A72" w14:textId="77777777" w:rsidR="007C3AEC" w:rsidRPr="00FE7A63" w:rsidRDefault="007C3AEC" w:rsidP="007C3AEC">
      <w:pPr>
        <w:rPr>
          <w:rFonts w:asciiTheme="majorHAnsi" w:hAnsiTheme="majorHAnsi" w:cstheme="majorHAnsi"/>
          <w:sz w:val="16"/>
          <w:szCs w:val="16"/>
        </w:rPr>
      </w:pPr>
    </w:p>
    <w:p w14:paraId="6B3389B7" w14:textId="27E5BAAB" w:rsidR="007C3AEC" w:rsidRPr="005C4E97" w:rsidRDefault="007C3AEC" w:rsidP="007C3AEC">
      <w:pPr>
        <w:jc w:val="both"/>
        <w:rPr>
          <w:rFonts w:ascii="Verdana Pro" w:hAnsi="Verdana Pro"/>
          <w:b/>
          <w:bCs/>
          <w:sz w:val="20"/>
          <w:szCs w:val="20"/>
        </w:rPr>
      </w:pPr>
      <w:proofErr w:type="spellStart"/>
      <w:r w:rsidRPr="005C4E97">
        <w:rPr>
          <w:rFonts w:ascii="Verdana Pro" w:hAnsi="Verdana Pro"/>
          <w:b/>
          <w:bCs/>
          <w:sz w:val="20"/>
          <w:szCs w:val="20"/>
        </w:rPr>
        <w:t>Ετ</w:t>
      </w:r>
      <w:proofErr w:type="spellEnd"/>
      <w:r w:rsidRPr="005C4E97">
        <w:rPr>
          <w:rFonts w:ascii="Verdana Pro" w:hAnsi="Verdana Pro"/>
          <w:b/>
          <w:bCs/>
          <w:sz w:val="20"/>
          <w:szCs w:val="20"/>
        </w:rPr>
        <w:t xml:space="preserve">αιρική </w:t>
      </w:r>
      <w:proofErr w:type="spellStart"/>
      <w:r w:rsidRPr="005C4E97">
        <w:rPr>
          <w:rFonts w:ascii="Verdana Pro" w:hAnsi="Verdana Pro"/>
          <w:b/>
          <w:bCs/>
          <w:sz w:val="20"/>
          <w:szCs w:val="20"/>
        </w:rPr>
        <w:t>Δι</w:t>
      </w:r>
      <w:proofErr w:type="spellEnd"/>
      <w:r w:rsidRPr="005C4E97">
        <w:rPr>
          <w:rFonts w:ascii="Verdana Pro" w:hAnsi="Verdana Pro"/>
          <w:b/>
          <w:bCs/>
          <w:sz w:val="20"/>
          <w:szCs w:val="20"/>
        </w:rPr>
        <w:t>ακυβέρνηση</w:t>
      </w:r>
    </w:p>
    <w:p w14:paraId="33370944" w14:textId="77777777" w:rsidR="007C3AEC" w:rsidRPr="007C3AEC" w:rsidRDefault="007C3AEC" w:rsidP="007C3AEC">
      <w:pPr>
        <w:jc w:val="both"/>
        <w:rPr>
          <w:rFonts w:ascii="Verdana Pro" w:hAnsi="Verdana Pro"/>
          <w:b/>
          <w:bCs/>
          <w:sz w:val="20"/>
          <w:szCs w:val="20"/>
        </w:rPr>
      </w:pPr>
    </w:p>
    <w:p w14:paraId="33372522" w14:textId="7777777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  <w:r w:rsidRPr="007C3AEC">
        <w:rPr>
          <w:rFonts w:ascii="Verdana Pro" w:hAnsi="Verdana Pro"/>
          <w:sz w:val="20"/>
          <w:szCs w:val="20"/>
          <w:lang w:val="el-GR"/>
        </w:rPr>
        <w:t>Με σκοπό τη διαφύλαξη του εταιρικού συμφέροντος η Πειραιώς ΑΕΠΕΥ έχει υιοθετήσει και εφαρμόζει ένα αποτελεσματικό σύστημα αρχών και πρακτικών αναφορικά με τη διοίκηση και την λειτουργία της Εταιρείας.</w:t>
      </w:r>
    </w:p>
    <w:p w14:paraId="65985DF2" w14:textId="7777777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</w:p>
    <w:p w14:paraId="2158E987" w14:textId="7777777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  <w:r w:rsidRPr="007C3AEC">
        <w:rPr>
          <w:rFonts w:ascii="Verdana Pro" w:hAnsi="Verdana Pro"/>
          <w:sz w:val="20"/>
          <w:szCs w:val="20"/>
          <w:lang w:val="el-GR"/>
        </w:rPr>
        <w:softHyphen/>
        <w:t xml:space="preserve"> </w:t>
      </w:r>
      <w:hyperlink r:id="rId11" w:history="1"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Σύνθεση Διοικητικού Συμβουλίου</w:t>
        </w:r>
      </w:hyperlink>
    </w:p>
    <w:p w14:paraId="6B03A6FF" w14:textId="7777777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  <w:hyperlink r:id="rId12" w:history="1"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softHyphen/>
          <w:t xml:space="preserve"> Σύστημα Εσωτερικής Εποπτείας.</w:t>
        </w:r>
      </w:hyperlink>
    </w:p>
    <w:p w14:paraId="062A855E" w14:textId="7777777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</w:p>
    <w:p w14:paraId="284B1D06" w14:textId="7777777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  <w:r w:rsidRPr="007C3AEC">
        <w:rPr>
          <w:rFonts w:ascii="Verdana Pro" w:hAnsi="Verdana Pro"/>
          <w:sz w:val="20"/>
          <w:szCs w:val="20"/>
          <w:lang w:val="el-GR"/>
        </w:rPr>
        <w:t xml:space="preserve">Αναλυτικά Στοιχεία μπορείτε να βρείτε στις </w:t>
      </w:r>
      <w:hyperlink r:id="rId13" w:history="1"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Οικονομικές Καταστάσεις</w:t>
        </w:r>
      </w:hyperlink>
      <w:r w:rsidRPr="007C3AEC">
        <w:rPr>
          <w:rFonts w:ascii="Verdana Pro" w:hAnsi="Verdana Pro"/>
          <w:sz w:val="20"/>
          <w:szCs w:val="20"/>
          <w:lang w:val="el-GR"/>
        </w:rPr>
        <w:t xml:space="preserve"> της Εταιρείας.</w:t>
      </w:r>
    </w:p>
    <w:p w14:paraId="64A539A8" w14:textId="29C94347" w:rsidR="007C3AEC" w:rsidRPr="007C3AEC" w:rsidRDefault="007C3AEC" w:rsidP="007C3AEC">
      <w:pPr>
        <w:jc w:val="both"/>
        <w:rPr>
          <w:rFonts w:ascii="Verdana Pro" w:hAnsi="Verdana Pro"/>
          <w:sz w:val="20"/>
          <w:szCs w:val="20"/>
          <w:lang w:val="el-GR"/>
        </w:rPr>
      </w:pPr>
      <w:r w:rsidRPr="007C3AEC">
        <w:rPr>
          <w:rFonts w:ascii="Verdana Pro" w:hAnsi="Verdana Pro"/>
          <w:sz w:val="20"/>
          <w:szCs w:val="20"/>
          <w:lang w:val="el-GR"/>
        </w:rPr>
        <w:t xml:space="preserve"> Η δημοσιοποίηση Πληροφοριών Εποπτικής Φύσης σχετικά με την κεφαλαιακή επάρκεια και τη διαχείριση κινδύνων σε ενοποιημένη βάση, με στοιχεία της 31/12/202</w:t>
      </w:r>
      <w:r w:rsidR="009F4F25" w:rsidRPr="009F4F25">
        <w:rPr>
          <w:rFonts w:ascii="Verdana Pro" w:hAnsi="Verdana Pro"/>
          <w:sz w:val="20"/>
          <w:szCs w:val="20"/>
          <w:lang w:val="el-GR"/>
        </w:rPr>
        <w:t>4</w:t>
      </w:r>
      <w:r w:rsidRPr="007C3AEC">
        <w:rPr>
          <w:rFonts w:ascii="Verdana Pro" w:hAnsi="Verdana Pro"/>
          <w:sz w:val="20"/>
          <w:szCs w:val="20"/>
          <w:lang w:val="el-GR"/>
        </w:rPr>
        <w:t xml:space="preserve"> για τον Όμιλο της Τράπεζας Πειραιώς, είναι αναρτημένη τόσο στην ιστοσελίδα της Τράπεζας Πειραιώς </w:t>
      </w:r>
      <w:hyperlink r:id="rId14" w:history="1"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https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://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www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.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piraeusholdings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.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gr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el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investors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corporate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-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governance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risk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-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management</w:t>
        </w:r>
      </w:hyperlink>
      <w:r w:rsidRPr="007C3AEC">
        <w:rPr>
          <w:rFonts w:ascii="Verdana Pro" w:hAnsi="Verdana Pro"/>
          <w:sz w:val="20"/>
          <w:szCs w:val="20"/>
          <w:lang w:val="el-GR"/>
        </w:rPr>
        <w:t xml:space="preserve"> όσο και στην ιστοσελίδα της Πειραιώς Α.Ε.Π.Ε.Υ</w:t>
      </w:r>
      <w:hyperlink r:id="rId15" w:history="1"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 xml:space="preserve">. 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http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://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www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.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piraeus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-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sec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.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gr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etairia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etairikidiakyvernish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/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esoteriki</w:t>
        </w:r>
        <w:r w:rsidRPr="007C3AEC">
          <w:rPr>
            <w:rStyle w:val="Hyperlink"/>
            <w:rFonts w:ascii="Verdana Pro" w:hAnsi="Verdana Pro"/>
            <w:color w:val="002F30"/>
            <w:sz w:val="20"/>
            <w:szCs w:val="20"/>
            <w:lang w:val="el-GR"/>
          </w:rPr>
          <w:t>-</w:t>
        </w:r>
        <w:proofErr w:type="spellStart"/>
        <w:r w:rsidRPr="007C3AEC">
          <w:rPr>
            <w:rStyle w:val="Hyperlink"/>
            <w:rFonts w:ascii="Verdana Pro" w:hAnsi="Verdana Pro"/>
            <w:color w:val="002F30"/>
            <w:sz w:val="20"/>
            <w:szCs w:val="20"/>
          </w:rPr>
          <w:t>epoptia</w:t>
        </w:r>
        <w:proofErr w:type="spellEnd"/>
      </w:hyperlink>
      <w:r w:rsidRPr="007C3AEC">
        <w:rPr>
          <w:rFonts w:ascii="Verdana Pro" w:hAnsi="Verdana Pro"/>
          <w:sz w:val="20"/>
          <w:szCs w:val="20"/>
          <w:lang w:val="el-GR"/>
        </w:rPr>
        <w:t>.</w:t>
      </w:r>
    </w:p>
    <w:p w14:paraId="31A1D100" w14:textId="77777777" w:rsidR="007C3AEC" w:rsidRPr="007C3AEC" w:rsidRDefault="007C3AEC" w:rsidP="007C3AEC">
      <w:pPr>
        <w:jc w:val="both"/>
        <w:rPr>
          <w:rFonts w:ascii="Verdana Pro" w:hAnsi="Verdana Pro"/>
          <w:b/>
          <w:bCs/>
          <w:sz w:val="20"/>
          <w:szCs w:val="20"/>
          <w:lang w:val="el-GR"/>
        </w:rPr>
      </w:pPr>
    </w:p>
    <w:p w14:paraId="27DBC737" w14:textId="77777777" w:rsidR="007C3AEC" w:rsidRPr="007C3AEC" w:rsidRDefault="007C3AEC" w:rsidP="007C3AEC">
      <w:pPr>
        <w:jc w:val="both"/>
        <w:rPr>
          <w:rFonts w:ascii="Verdana Pro" w:hAnsi="Verdana Pro"/>
          <w:b/>
          <w:bCs/>
          <w:sz w:val="18"/>
          <w:szCs w:val="18"/>
          <w:lang w:val="el-GR"/>
        </w:rPr>
      </w:pPr>
    </w:p>
    <w:p w14:paraId="35765722" w14:textId="77777777" w:rsidR="007C3AEC" w:rsidRPr="007C3AEC" w:rsidRDefault="007C3AEC" w:rsidP="007C3AEC">
      <w:pPr>
        <w:rPr>
          <w:rFonts w:ascii="Verdana Pro" w:hAnsi="Verdana Pro"/>
          <w:b/>
          <w:bCs/>
          <w:sz w:val="18"/>
          <w:szCs w:val="18"/>
          <w:lang w:val="el-GR"/>
        </w:rPr>
      </w:pPr>
    </w:p>
    <w:p w14:paraId="17F97823" w14:textId="77777777" w:rsidR="007C3AEC" w:rsidRPr="007C3AEC" w:rsidRDefault="007C3AEC" w:rsidP="007C3AEC">
      <w:pPr>
        <w:rPr>
          <w:rFonts w:ascii="Verdana Pro" w:hAnsi="Verdana Pro"/>
          <w:b/>
          <w:bCs/>
          <w:sz w:val="18"/>
          <w:szCs w:val="18"/>
          <w:lang w:val="el-GR"/>
        </w:rPr>
      </w:pPr>
    </w:p>
    <w:p w14:paraId="5882A6D0" w14:textId="77777777" w:rsidR="007C3AEC" w:rsidRPr="007C3AEC" w:rsidRDefault="007C3AEC" w:rsidP="007C3AEC">
      <w:pPr>
        <w:rPr>
          <w:rFonts w:ascii="Verdana Pro" w:hAnsi="Verdana Pro"/>
          <w:b/>
          <w:bCs/>
          <w:sz w:val="18"/>
          <w:szCs w:val="18"/>
          <w:lang w:val="el-GR"/>
        </w:rPr>
      </w:pPr>
    </w:p>
    <w:p w14:paraId="27465A12" w14:textId="77777777" w:rsidR="007C3AEC" w:rsidRPr="007C3AEC" w:rsidRDefault="007C3AEC" w:rsidP="007C3AEC">
      <w:pPr>
        <w:rPr>
          <w:rFonts w:ascii="Verdana Pro" w:hAnsi="Verdana Pro"/>
          <w:b/>
          <w:bCs/>
          <w:sz w:val="18"/>
          <w:szCs w:val="18"/>
          <w:lang w:val="el-GR"/>
        </w:rPr>
      </w:pPr>
    </w:p>
    <w:p w14:paraId="50FA3C94" w14:textId="77777777" w:rsidR="007C3AEC" w:rsidRPr="007C3AEC" w:rsidRDefault="007C3AEC" w:rsidP="007C3AEC">
      <w:pPr>
        <w:rPr>
          <w:rFonts w:ascii="Verdana Pro" w:hAnsi="Verdana Pro"/>
          <w:b/>
          <w:bCs/>
          <w:sz w:val="18"/>
          <w:szCs w:val="18"/>
          <w:lang w:val="el-GR"/>
        </w:rPr>
      </w:pPr>
    </w:p>
    <w:p w14:paraId="2AF2E404" w14:textId="77777777" w:rsidR="007C3AEC" w:rsidRPr="007C3AEC" w:rsidRDefault="007C3AEC" w:rsidP="007C3AEC">
      <w:pPr>
        <w:rPr>
          <w:rFonts w:ascii="Verdana Pro" w:hAnsi="Verdana Pro"/>
          <w:b/>
          <w:bCs/>
          <w:sz w:val="18"/>
          <w:szCs w:val="18"/>
          <w:lang w:val="el-GR"/>
        </w:rPr>
      </w:pPr>
    </w:p>
    <w:p w14:paraId="53128261" w14:textId="77777777" w:rsidR="00635A53" w:rsidRPr="007C3AEC" w:rsidRDefault="00635A53">
      <w:pPr>
        <w:rPr>
          <w:rFonts w:ascii="Verdana Pro" w:hAnsi="Verdana Pro"/>
          <w:sz w:val="18"/>
          <w:szCs w:val="18"/>
          <w:lang w:val="el-GR"/>
        </w:rPr>
      </w:pPr>
    </w:p>
    <w:p w14:paraId="3F1868D3" w14:textId="77777777" w:rsidR="00924A7B" w:rsidRPr="007C3AEC" w:rsidRDefault="00924A7B">
      <w:pPr>
        <w:rPr>
          <w:rFonts w:ascii="Verdana Pro" w:hAnsi="Verdana Pro"/>
          <w:sz w:val="18"/>
          <w:szCs w:val="18"/>
          <w:lang w:val="el-GR"/>
        </w:rPr>
      </w:pPr>
    </w:p>
    <w:p w14:paraId="38AA6EBC" w14:textId="77777777" w:rsidR="00924A7B" w:rsidRPr="007C3AEC" w:rsidRDefault="00924A7B">
      <w:pPr>
        <w:rPr>
          <w:rFonts w:ascii="Verdana Pro" w:hAnsi="Verdana Pro"/>
          <w:sz w:val="18"/>
          <w:szCs w:val="18"/>
          <w:lang w:val="el-GR"/>
        </w:rPr>
      </w:pPr>
    </w:p>
    <w:p w14:paraId="70E6D346" w14:textId="77777777" w:rsidR="00924A7B" w:rsidRPr="007C3AEC" w:rsidRDefault="00924A7B">
      <w:pPr>
        <w:rPr>
          <w:rFonts w:ascii="Verdana Pro" w:hAnsi="Verdana Pro"/>
          <w:sz w:val="18"/>
          <w:szCs w:val="18"/>
          <w:lang w:val="el-GR"/>
        </w:rPr>
      </w:pPr>
    </w:p>
    <w:p w14:paraId="6B43EC56" w14:textId="77777777" w:rsidR="00924A7B" w:rsidRPr="007C3AEC" w:rsidRDefault="00924A7B">
      <w:pPr>
        <w:rPr>
          <w:rFonts w:ascii="Verdana Pro" w:hAnsi="Verdana Pro"/>
          <w:sz w:val="18"/>
          <w:szCs w:val="18"/>
          <w:lang w:val="el-GR"/>
        </w:rPr>
      </w:pPr>
    </w:p>
    <w:p w14:paraId="2CB5A17E" w14:textId="4F011F10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p w14:paraId="79117CCE" w14:textId="2EEDDC6E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p w14:paraId="762E2985" w14:textId="63FBD10B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p w14:paraId="4E8F8B68" w14:textId="73E3EAA5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p w14:paraId="09ADC24B" w14:textId="6A035E95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p w14:paraId="1E5061D5" w14:textId="0CC5EAD8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p w14:paraId="1FCF185E" w14:textId="77777777" w:rsidR="00AE52D4" w:rsidRPr="007C3AEC" w:rsidRDefault="00AE52D4" w:rsidP="00AE52D4">
      <w:pPr>
        <w:rPr>
          <w:rFonts w:ascii="Verdana Pro" w:hAnsi="Verdana Pro"/>
          <w:sz w:val="18"/>
          <w:szCs w:val="18"/>
          <w:lang w:val="el-GR"/>
        </w:rPr>
      </w:pPr>
    </w:p>
    <w:sectPr w:rsidR="00AE52D4" w:rsidRPr="007C3AEC" w:rsidSect="0049762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495" w:right="1418" w:bottom="1440" w:left="1418" w:header="567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D888" w14:textId="77777777" w:rsidR="0012475F" w:rsidRDefault="0012475F" w:rsidP="00307435">
      <w:r>
        <w:separator/>
      </w:r>
    </w:p>
  </w:endnote>
  <w:endnote w:type="continuationSeparator" w:id="0">
    <w:p w14:paraId="2E8B5A1D" w14:textId="77777777" w:rsidR="0012475F" w:rsidRDefault="0012475F" w:rsidP="0030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raeus Open Sans">
    <w:altName w:val="Calibri"/>
    <w:panose1 w:val="00000000000000000000"/>
    <w:charset w:val="00"/>
    <w:family w:val="modern"/>
    <w:notTrueType/>
    <w:pitch w:val="variable"/>
    <w:sig w:usb0="A000006F" w:usb1="5000204B" w:usb2="00000000" w:usb3="00000000" w:csb0="00000093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20B0604020202020204"/>
    <w:charset w:val="00"/>
    <w:family w:val="auto"/>
    <w:pitch w:val="variable"/>
    <w:sig w:usb0="00000000" w:usb1="5000A1FF" w:usb2="00000000" w:usb3="00000000" w:csb0="000001B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F798" w14:textId="49D7C9BF" w:rsidR="003D6C75" w:rsidRDefault="003D6C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6373F5" wp14:editId="629562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77060" cy="345440"/>
              <wp:effectExtent l="0" t="0" r="8890" b="0"/>
              <wp:wrapNone/>
              <wp:docPr id="1302072844" name="Text Box 2" descr="Highly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7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5F6D3" w14:textId="05CADA64" w:rsidR="003D6C75" w:rsidRPr="003D6C75" w:rsidRDefault="003D6C75" w:rsidP="003D6C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C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373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ighly Confidential Information" style="position:absolute;margin-left:0;margin-top:0;width:147.8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5KEAIAABsEAAAOAAAAZHJzL2Uyb0RvYy54bWysU99v2jAQfp+0/8Hy+0hg0HYRoWKtmCah&#10;thKt+mwcm0SyfZZtSNhfv7MToOv6NO3F+XJ3vh/ffZ7fdlqRg3C+AVPS8SinRBgOVWN2JX15Xn25&#10;ocQHZiqmwIiSHoWnt4vPn+atLcQEalCVcASTGF+0tqR1CLbIMs9roZkfgRUGnRKcZgF/3S6rHGsx&#10;u1bZJM+vshZcZR1w4T1a73snXaT8UgoeHqX0IhBVUuwtpNOlcxvPbDFnxc4xWzd8aIP9QxeaNQaL&#10;nlPds8DI3jV/pdINd+BBhhEHnYGUDRdpBpxmnL+bZlMzK9IsSI63Z5r8/0vLHw4b++RI6L5DhwuM&#10;hLTWFx6NcZ5OOh2/2ClBP1J4PNMmukB4vHRzfZ1foYuj7+t0Np0mXrPLbet8+CFAkwhK6nAtiS12&#10;WPuAFTH0FBKLGVg1SqXVKPOHAQOjJbu0GFHott3Q9xaqI47joN+0t3zVYM018+GJOVwttolyDY94&#10;SAVtSWFAlNTgfn1kj/HIOHopaVEqJTWoZUrUT4ObmMymeR6llf4QuBPYJjD+ls+i3+z1HaAKx/gg&#10;LE8wBgd1gtKBfkU1L2M1dDHDsWZJtyd4F3rh4mvgYrlMQagiy8LabCyPqSNZkcnn7pU5O9AdcFEP&#10;cBITK96x3sfGm94u9wG5TyuJxPZsDnyjAtOmhtcSJf72P0Vd3vTiNwAAAP//AwBQSwMEFAAGAAgA&#10;AAAhACg+0jvbAAAABAEAAA8AAABkcnMvZG93bnJldi54bWxMj81OwzAQhO9IvIO1SNyoQ9RGJcSp&#10;qvIjrqRIcHTibRw13k1jtw1vj+FSLiuNZjTzbbGaXC9OOPqOScH9LAGB1LDpqFXwsX25W4LwQZPR&#10;PRMq+EYPq/L6qtC54TO946kKrYgl5HOtwIYw5FL6xqLTfsYDUvR2PDodohxbaUZ9juWul2mSZNLp&#10;juKC1QNuLDb76ugUZE+vazt8Zl+HXerffM37UPGzUrc30/oRRMApXMLwix/RoYxMNR/JeNEriI+E&#10;vxu99GGRgagVLOZzkGUh/8OXPwAAAP//AwBQSwECLQAUAAYACAAAACEAtoM4kv4AAADhAQAAEwAA&#10;AAAAAAAAAAAAAAAAAAAAW0NvbnRlbnRfVHlwZXNdLnhtbFBLAQItABQABgAIAAAAIQA4/SH/1gAA&#10;AJQBAAALAAAAAAAAAAAAAAAAAC8BAABfcmVscy8ucmVsc1BLAQItABQABgAIAAAAIQAXGv5KEAIA&#10;ABsEAAAOAAAAAAAAAAAAAAAAAC4CAABkcnMvZTJvRG9jLnhtbFBLAQItABQABgAIAAAAIQAoPtI7&#10;2wAAAAQBAAAPAAAAAAAAAAAAAAAAAGoEAABkcnMvZG93bnJldi54bWxQSwUGAAAAAAQABADzAAAA&#10;cgUAAAAA&#10;" filled="f" stroked="f">
              <v:textbox style="mso-fit-shape-to-text:t" inset="20pt,0,0,15pt">
                <w:txbxContent>
                  <w:p w14:paraId="5EB5F6D3" w14:textId="05CADA64" w:rsidR="003D6C75" w:rsidRPr="003D6C75" w:rsidRDefault="003D6C75" w:rsidP="003D6C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C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C219" w14:textId="7E42A726" w:rsidR="007C3AEC" w:rsidRPr="00AE52D4" w:rsidRDefault="003D6C75" w:rsidP="007C3AEC">
    <w:pPr>
      <w:pStyle w:val="Footer"/>
      <w:jc w:val="center"/>
      <w:rPr>
        <w:rFonts w:ascii="Verdana" w:hAnsi="Verdana" w:cs="Calibri"/>
        <w:b/>
        <w:bCs/>
        <w:sz w:val="14"/>
        <w:szCs w:val="14"/>
      </w:rPr>
    </w:pPr>
    <w:r>
      <w:rPr>
        <w:rFonts w:ascii="Verdana" w:hAnsi="Verdana" w:cs="Calibri"/>
        <w:b/>
        <w:bCs/>
        <w:noProof/>
        <w:sz w:val="14"/>
        <w:szCs w:val="1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E1368EB" wp14:editId="4D6AA489">
              <wp:simplePos x="904875" y="9534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77060" cy="345440"/>
              <wp:effectExtent l="0" t="0" r="8890" b="0"/>
              <wp:wrapNone/>
              <wp:docPr id="2010614803" name="Text Box 3" descr="Highly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7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040A8" w14:textId="2E4D6F7C" w:rsidR="003D6C75" w:rsidRPr="003D6C75" w:rsidRDefault="003D6C75" w:rsidP="003D6C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C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36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ighly Confidential Information" style="position:absolute;left:0;text-align:left;margin-left:0;margin-top:0;width:147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MeEgIAACIEAAAOAAAAZHJzL2Uyb0RvYy54bWysU99v2jAQfp+0/8Hy+0hg0HYRoWKtmCah&#10;thKd+uw4Nolk+yzbkLC/fmdDoOv2VPXFudyd78f3fZ7f9lqRvXC+BVPS8SinRBgOdWu2Jf31vPpy&#10;Q4kPzNRMgRElPQhPbxefP807W4gJNKBq4QgWMb7obEmbEGyRZZ43QjM/AisMBiU4zQL+um1WO9Zh&#10;da2ySZ5fZR242jrgwnv03h+DdJHqSyl4eJTSi0BUSXG2kE6Xziqe2WLOiq1jtmn5aQz2jik0aw02&#10;PZe6Z4GRnWv/KaVb7sCDDCMOOgMpWy7SDrjNOH+zzaZhVqRdEBxvzzD5jyvLH/Yb++RI6L9DjwRG&#10;QDrrC4/OuE8vnY5fnJRgHCE8nGETfSA8Xrq5vs6vMMQx9nU6m04TrtnltnU+/BCgSTRK6pCWhBbb&#10;r33Ajpg6pMRmBlatUokaZf5yYGL0ZJcRoxX6qidt/Wr8CuoDbuXgSLi3fNVi6zXz4Yk5ZBinRdWG&#10;Rzykgq6kcLIoacD9/p8/5iPwGKWkQ8WU1KCkKVE/DRIymU3zPCos/aHhBqNKxvhbPotxs9N3gGIc&#10;47uwPJkxOajBlA70C4p6GbthiBmOPUtaDeZdOOoXHwUXy2VKQjFZFtZmY3ksHTGLgD73L8zZE+oB&#10;+XqAQVOseAP+MTfe9Ha5C0hBYibie0TzBDsKMRF2ejRR6a//U9blaS/+AAAA//8DAFBLAwQUAAYA&#10;CAAAACEAKD7SO9sAAAAEAQAADwAAAGRycy9kb3ducmV2LnhtbEyPzU7DMBCE70i8g7VI3KhD1EYl&#10;xKmq8iOupEhwdOJtHDXeTWO3DW+P4VIuK41mNPNtsZpcL044+o5Jwf0sAYHUsOmoVfCxfblbgvBB&#10;k9E9Eyr4Rg+r8vqq0LnhM73jqQqtiCXkc63AhjDkUvrGotN+xgNS9HY8Oh2iHFtpRn2O5a6XaZJk&#10;0umO4oLVA24sNvvq6BRkT69rO3xmX4dd6t98zftQ8bNStzfT+hFEwClcwvCLH9GhjEw1H8l40SuI&#10;j4S/G730YZGBqBUs5nOQZSH/w5c/AAAA//8DAFBLAQItABQABgAIAAAAIQC2gziS/gAAAOEBAAAT&#10;AAAAAAAAAAAAAAAAAAAAAABbQ29udGVudF9UeXBlc10ueG1sUEsBAi0AFAAGAAgAAAAhADj9If/W&#10;AAAAlAEAAAsAAAAAAAAAAAAAAAAALwEAAF9yZWxzLy5yZWxzUEsBAi0AFAAGAAgAAAAhAG40cx4S&#10;AgAAIgQAAA4AAAAAAAAAAAAAAAAALgIAAGRycy9lMm9Eb2MueG1sUEsBAi0AFAAGAAgAAAAhACg+&#10;0jvbAAAABAEAAA8AAAAAAAAAAAAAAAAAbAQAAGRycy9kb3ducmV2LnhtbFBLBQYAAAAABAAEAPMA&#10;AAB0BQAAAAA=&#10;" filled="f" stroked="f">
              <v:textbox style="mso-fit-shape-to-text:t" inset="20pt,0,0,15pt">
                <w:txbxContent>
                  <w:p w14:paraId="76D040A8" w14:textId="2E4D6F7C" w:rsidR="003D6C75" w:rsidRPr="003D6C75" w:rsidRDefault="003D6C75" w:rsidP="003D6C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C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3AEC" w:rsidRPr="00AE52D4">
      <w:rPr>
        <w:rFonts w:ascii="Verdana" w:hAnsi="Verdana" w:cs="Calibri"/>
        <w:b/>
        <w:bCs/>
        <w:sz w:val="14"/>
        <w:szCs w:val="14"/>
      </w:rPr>
      <w:t>ΠΕΙΡΑΙΩΣ Α.Ε.Π.Ε.Υ</w:t>
    </w:r>
  </w:p>
  <w:p w14:paraId="604B3277" w14:textId="77777777" w:rsidR="007C3AEC" w:rsidRPr="00AE52D4" w:rsidRDefault="007C3AEC" w:rsidP="007C3AEC">
    <w:pPr>
      <w:jc w:val="center"/>
      <w:rPr>
        <w:rFonts w:ascii="Verdana" w:hAnsi="Verdana" w:cs="Calibri"/>
        <w:sz w:val="14"/>
        <w:szCs w:val="14"/>
        <w:lang w:val="el-GR"/>
      </w:rPr>
    </w:pPr>
    <w:r w:rsidRPr="00AE52D4">
      <w:rPr>
        <w:rFonts w:ascii="Verdana" w:hAnsi="Verdana" w:cs="Calibri"/>
        <w:iCs/>
        <w:sz w:val="14"/>
        <w:szCs w:val="14"/>
        <w:lang w:val="el-GR"/>
      </w:rPr>
      <w:t xml:space="preserve">Σταδίου 10, </w:t>
    </w:r>
    <w:r w:rsidRPr="00AE52D4">
      <w:rPr>
        <w:rFonts w:ascii="Verdana" w:hAnsi="Verdana" w:cs="Calibri"/>
        <w:sz w:val="14"/>
        <w:szCs w:val="14"/>
        <w:lang w:val="el-GR"/>
      </w:rPr>
      <w:t xml:space="preserve">105 64 Αθήνα, </w:t>
    </w:r>
    <w:proofErr w:type="spellStart"/>
    <w:r w:rsidRPr="00AE52D4">
      <w:rPr>
        <w:rFonts w:ascii="Verdana" w:hAnsi="Verdana" w:cs="Calibri"/>
        <w:sz w:val="14"/>
        <w:szCs w:val="14"/>
        <w:lang w:val="el-GR"/>
      </w:rPr>
      <w:t>Τηλ</w:t>
    </w:r>
    <w:proofErr w:type="spellEnd"/>
    <w:r w:rsidRPr="00AE52D4">
      <w:rPr>
        <w:rFonts w:ascii="Verdana" w:hAnsi="Verdana" w:cs="Calibri"/>
        <w:sz w:val="14"/>
        <w:szCs w:val="14"/>
        <w:lang w:val="el-GR"/>
      </w:rPr>
      <w:t>:  +30210 3354.100, Ε</w:t>
    </w:r>
    <w:r w:rsidRPr="00AE52D4">
      <w:rPr>
        <w:rFonts w:ascii="Verdana" w:hAnsi="Verdana" w:cs="Calibri"/>
        <w:sz w:val="14"/>
        <w:szCs w:val="14"/>
        <w:lang w:val="fr-FR"/>
      </w:rPr>
      <w:t xml:space="preserve">-mail: </w:t>
    </w:r>
    <w:hyperlink r:id="rId1" w:history="1">
      <w:r w:rsidRPr="00AE52D4">
        <w:rPr>
          <w:rStyle w:val="Hyperlink"/>
          <w:rFonts w:ascii="Verdana" w:hAnsi="Verdana" w:cs="Calibri"/>
          <w:color w:val="002F30"/>
          <w:sz w:val="14"/>
          <w:szCs w:val="14"/>
          <w:lang w:val="fr-FR"/>
        </w:rPr>
        <w:t>info@piraeus-sec.gr</w:t>
      </w:r>
    </w:hyperlink>
    <w:r w:rsidRPr="00AE52D4">
      <w:rPr>
        <w:rFonts w:ascii="Verdana" w:hAnsi="Verdana" w:cs="Calibri"/>
        <w:sz w:val="14"/>
        <w:szCs w:val="14"/>
        <w:lang w:val="fr-FR"/>
      </w:rPr>
      <w:t xml:space="preserve"> ,  http: // </w:t>
    </w:r>
    <w:hyperlink r:id="rId2" w:history="1">
      <w:r w:rsidRPr="00AE52D4">
        <w:rPr>
          <w:rStyle w:val="Hyperlink"/>
          <w:rFonts w:ascii="Verdana" w:hAnsi="Verdana" w:cs="Calibri"/>
          <w:color w:val="002F30"/>
          <w:sz w:val="14"/>
          <w:szCs w:val="14"/>
          <w:lang w:val="fr-FR"/>
        </w:rPr>
        <w:t>www.piraeus-sec.gr</w:t>
      </w:r>
    </w:hyperlink>
  </w:p>
  <w:p w14:paraId="3FDBE2F6" w14:textId="3D413995" w:rsidR="007C3AEC" w:rsidRPr="00AE52D4" w:rsidRDefault="007C3AEC" w:rsidP="007C3AEC">
    <w:pPr>
      <w:jc w:val="center"/>
      <w:rPr>
        <w:rFonts w:ascii="Verdana" w:hAnsi="Verdana" w:cs="Calibri"/>
        <w:iCs/>
        <w:sz w:val="14"/>
        <w:szCs w:val="14"/>
        <w:lang w:val="el-GR"/>
      </w:rPr>
    </w:pPr>
    <w:proofErr w:type="spellStart"/>
    <w:r w:rsidRPr="00AE52D4">
      <w:rPr>
        <w:rFonts w:ascii="Verdana" w:hAnsi="Verdana" w:cs="Calibri"/>
        <w:iCs/>
        <w:sz w:val="14"/>
        <w:szCs w:val="14"/>
        <w:lang w:val="el-GR"/>
      </w:rPr>
      <w:t>Αρ.Γ.Ε.ΜΗ</w:t>
    </w:r>
    <w:proofErr w:type="spellEnd"/>
    <w:r w:rsidRPr="00AE52D4">
      <w:rPr>
        <w:rFonts w:ascii="Verdana" w:hAnsi="Verdana" w:cs="Calibri"/>
        <w:iCs/>
        <w:sz w:val="14"/>
        <w:szCs w:val="14"/>
        <w:lang w:val="el-GR"/>
      </w:rPr>
      <w:t xml:space="preserve">. 1320701000, Α.Φ.Μ. : 094285013, Δ.Ο.Υ.: </w:t>
    </w:r>
    <w:r w:rsidR="009D0CD7">
      <w:rPr>
        <w:rFonts w:ascii="Verdana" w:hAnsi="Verdana" w:cs="Calibri"/>
        <w:iCs/>
        <w:sz w:val="14"/>
        <w:szCs w:val="14"/>
        <w:lang w:val="el-GR"/>
      </w:rPr>
      <w:t>ΚΕ</w:t>
    </w:r>
    <w:r w:rsidR="009D0CD7" w:rsidRPr="00AE52D4">
      <w:rPr>
        <w:rFonts w:ascii="Verdana" w:hAnsi="Verdana" w:cs="Calibri"/>
        <w:iCs/>
        <w:sz w:val="14"/>
        <w:szCs w:val="14"/>
        <w:lang w:val="el-GR"/>
      </w:rPr>
      <w:t>.</w:t>
    </w:r>
    <w:r w:rsidR="009D0CD7">
      <w:rPr>
        <w:rFonts w:ascii="Verdana" w:hAnsi="Verdana" w:cs="Calibri"/>
        <w:iCs/>
        <w:sz w:val="14"/>
        <w:szCs w:val="14"/>
        <w:lang w:val="el-GR"/>
      </w:rPr>
      <w:t>ΦΟ</w:t>
    </w:r>
    <w:r w:rsidR="009D0CD7" w:rsidRPr="00AE52D4">
      <w:rPr>
        <w:rFonts w:ascii="Verdana" w:hAnsi="Verdana" w:cs="Calibri"/>
        <w:iCs/>
        <w:sz w:val="14"/>
        <w:szCs w:val="14"/>
        <w:lang w:val="el-GR"/>
      </w:rPr>
      <w:t>.</w:t>
    </w:r>
    <w:r w:rsidR="009D0CD7">
      <w:rPr>
        <w:rFonts w:ascii="Verdana" w:hAnsi="Verdana" w:cs="Calibri"/>
        <w:iCs/>
        <w:sz w:val="14"/>
        <w:szCs w:val="14"/>
        <w:lang w:val="el-GR"/>
      </w:rPr>
      <w:t>Δ.Ε</w:t>
    </w:r>
    <w:r w:rsidR="009D0CD7" w:rsidRPr="00AE52D4">
      <w:rPr>
        <w:rFonts w:ascii="Verdana" w:hAnsi="Verdana" w:cs="Calibri"/>
        <w:iCs/>
        <w:sz w:val="14"/>
        <w:szCs w:val="14"/>
        <w:lang w:val="el-GR"/>
      </w:rPr>
      <w:t xml:space="preserve">. </w:t>
    </w:r>
    <w:proofErr w:type="spellStart"/>
    <w:r w:rsidR="009D0CD7">
      <w:rPr>
        <w:rFonts w:ascii="Verdana" w:hAnsi="Verdana" w:cs="Calibri"/>
        <w:iCs/>
        <w:sz w:val="14"/>
        <w:szCs w:val="14"/>
        <w:lang w:val="el-GR"/>
      </w:rPr>
      <w:t>Αττικής</w:t>
    </w:r>
    <w:r w:rsidRPr="00AE52D4">
      <w:rPr>
        <w:rFonts w:ascii="Verdana" w:hAnsi="Verdana" w:cs="Calibri"/>
        <w:iCs/>
        <w:sz w:val="14"/>
        <w:szCs w:val="14"/>
        <w:lang w:val="el-GR"/>
      </w:rPr>
      <w:t>,Εποπτεύουσα</w:t>
    </w:r>
    <w:proofErr w:type="spellEnd"/>
    <w:r w:rsidRPr="00AE52D4">
      <w:rPr>
        <w:rFonts w:ascii="Verdana" w:hAnsi="Verdana" w:cs="Calibri"/>
        <w:iCs/>
        <w:sz w:val="14"/>
        <w:szCs w:val="14"/>
        <w:lang w:val="el-GR"/>
      </w:rPr>
      <w:t xml:space="preserve"> Αρχή: Επιτροπή Κεφαλαιαγοράς</w:t>
    </w:r>
  </w:p>
  <w:p w14:paraId="719EC823" w14:textId="77777777" w:rsidR="007C3AEC" w:rsidRPr="00AE52D4" w:rsidRDefault="007C3AEC" w:rsidP="007C3AEC">
    <w:pPr>
      <w:jc w:val="center"/>
      <w:rPr>
        <w:rFonts w:ascii="Verdana" w:hAnsi="Verdana" w:cs="Calibri"/>
        <w:iCs/>
        <w:sz w:val="14"/>
        <w:szCs w:val="14"/>
      </w:rPr>
    </w:pPr>
    <w:proofErr w:type="spellStart"/>
    <w:r w:rsidRPr="00AE52D4">
      <w:rPr>
        <w:rFonts w:ascii="Verdana" w:hAnsi="Verdana" w:cs="Calibri"/>
        <w:iCs/>
        <w:sz w:val="14"/>
        <w:szCs w:val="14"/>
      </w:rPr>
      <w:t>Αρ</w:t>
    </w:r>
    <w:proofErr w:type="spellEnd"/>
    <w:r w:rsidRPr="00AE52D4">
      <w:rPr>
        <w:rFonts w:ascii="Verdana" w:hAnsi="Verdana" w:cs="Calibri"/>
        <w:iCs/>
        <w:sz w:val="14"/>
        <w:szCs w:val="14"/>
      </w:rPr>
      <w:t xml:space="preserve">. </w:t>
    </w:r>
    <w:proofErr w:type="spellStart"/>
    <w:r w:rsidRPr="00AE52D4">
      <w:rPr>
        <w:rFonts w:ascii="Verdana" w:hAnsi="Verdana" w:cs="Calibri"/>
        <w:iCs/>
        <w:sz w:val="14"/>
        <w:szCs w:val="14"/>
      </w:rPr>
      <w:t>Αδεί</w:t>
    </w:r>
    <w:proofErr w:type="spellEnd"/>
    <w:r w:rsidRPr="00AE52D4">
      <w:rPr>
        <w:rFonts w:ascii="Verdana" w:hAnsi="Verdana" w:cs="Calibri"/>
        <w:iCs/>
        <w:sz w:val="14"/>
        <w:szCs w:val="14"/>
      </w:rPr>
      <w:t>ας: 3/28/27.12.1989 &amp; 11/473/5.6.2008</w:t>
    </w:r>
  </w:p>
  <w:p w14:paraId="7370DF92" w14:textId="77777777" w:rsidR="007C3AEC" w:rsidRPr="00AE52D4" w:rsidRDefault="007C3AEC" w:rsidP="007C3AEC">
    <w:pPr>
      <w:jc w:val="center"/>
      <w:rPr>
        <w:rFonts w:ascii="Verdana" w:hAnsi="Verdana" w:cs="Calibri"/>
        <w:sz w:val="16"/>
        <w:szCs w:val="16"/>
        <w:lang w:val="fr-FR"/>
      </w:rPr>
    </w:pPr>
  </w:p>
  <w:p w14:paraId="3B2CF21A" w14:textId="77777777" w:rsidR="007C3AEC" w:rsidRPr="007C3AEC" w:rsidRDefault="007C3AEC" w:rsidP="007C3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D26F" w14:textId="08D0CE0F" w:rsidR="00285E2C" w:rsidRPr="00AE52D4" w:rsidRDefault="003D6C75" w:rsidP="00285E2C">
    <w:pPr>
      <w:pStyle w:val="Footer"/>
      <w:jc w:val="center"/>
      <w:rPr>
        <w:rFonts w:ascii="Verdana" w:hAnsi="Verdana" w:cs="Calibri"/>
        <w:b/>
        <w:bCs/>
        <w:sz w:val="14"/>
        <w:szCs w:val="14"/>
      </w:rPr>
    </w:pPr>
    <w:r>
      <w:rPr>
        <w:rFonts w:ascii="Verdana" w:hAnsi="Verdana" w:cs="Calibri"/>
        <w:b/>
        <w:bCs/>
        <w:noProof/>
        <w:sz w:val="14"/>
        <w:szCs w:val="1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7DDB6F" wp14:editId="104B4BB8">
              <wp:simplePos x="904875" y="9353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77060" cy="345440"/>
              <wp:effectExtent l="0" t="0" r="8890" b="0"/>
              <wp:wrapNone/>
              <wp:docPr id="149927795" name="Text Box 1" descr="Highly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7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3B251" w14:textId="312C7F67" w:rsidR="003D6C75" w:rsidRPr="003D6C75" w:rsidRDefault="003D6C75" w:rsidP="003D6C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C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DDB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ighly Confidential Information" style="position:absolute;left:0;text-align:left;margin-left:0;margin-top:0;width:147.8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BcFAIAACIEAAAOAAAAZHJzL2Uyb0RvYy54bWysU99v2jAQfp+0/8Hy+0hg0HYRoWKtmCah&#10;thKt+mwcm0SyfZZtSNhfv7NDoOv6NO3Fudyd78f3fZ7fdlqRg3C+AVPS8SinRBgOVWN2JX15Xn25&#10;ocQHZiqmwIiSHoWnt4vPn+atLcQEalCVcASLGF+0tqR1CLbIMs9roZkfgRUGgxKcZgF/3S6rHGux&#10;ulbZJM+vshZcZR1w4T167/sgXaT6UgoeHqX0IhBVUpwtpNOlcxvPbDFnxc4xWzf8NAb7hyk0aww2&#10;PZe6Z4GRvWv+KqUb7sCDDCMOOgMpGy7SDrjNOH+3zaZmVqRdEBxvzzD5/1eWPxw29smR0H2HDgmM&#10;gLTWFx6dcZ9OOh2/OCnBOEJ4PMMmukB4vHRzfZ1fYYhj7Ot0Np0mXLPLbet8+CFAk2iU1CEtCS12&#10;WPuAHTF1SInNDKwapRI1yvzhwMToyS4jRit02440VUknw/hbqI64lYOecG/5qsHWa+bDE3PIME6L&#10;qg2PeEgFbUnhZFFSg/v1kT/mI/AYpaRFxZTUoKQpUT8NEjKZTfM8Kiz9oeEGY5uM8bd8FuNmr+8A&#10;xTjGd2F5MmNyUIMpHehXFPUydsMQMxx7lnQ7mHeh1y8+Ci6Wy5SEYrIsrM3G8lg6YhYBfe5embMn&#10;1APy9QCDpljxDvw+N970drkPSEFiJuLbo3mCHYWYCDs9mqj0t/8p6/K0F78BAAD//wMAUEsDBBQA&#10;BgAIAAAAIQAoPtI72wAAAAQBAAAPAAAAZHJzL2Rvd25yZXYueG1sTI/NTsMwEITvSLyDtUjcqEPU&#10;RiXEqaryI66kSHB04m0cNd5NY7cNb4/hUi4rjWY0822xmlwvTjj6jknB/SwBgdSw6ahV8LF9uVuC&#10;8EGT0T0TKvhGD6vy+qrQueEzveOpCq2IJeRzrcCGMORS+sai037GA1L0djw6HaIcW2lGfY7lrpdp&#10;kmTS6Y7igtUDbiw2++roFGRPr2s7fGZfh13q33zN+1Dxs1K3N9P6EUTAKVzC8Isf0aGMTDUfyXjR&#10;K4iPhL8bvfRhkYGoFSzmc5BlIf/Dlz8AAAD//wMAUEsBAi0AFAAGAAgAAAAhALaDOJL+AAAA4QEA&#10;ABMAAAAAAAAAAAAAAAAAAAAAAFtDb250ZW50X1R5cGVzXS54bWxQSwECLQAUAAYACAAAACEAOP0h&#10;/9YAAACUAQAACwAAAAAAAAAAAAAAAAAvAQAAX3JlbHMvLnJlbHNQSwECLQAUAAYACAAAACEAP6KA&#10;XBQCAAAiBAAADgAAAAAAAAAAAAAAAAAuAgAAZHJzL2Uyb0RvYy54bWxQSwECLQAUAAYACAAAACEA&#10;KD7SO9sAAAAEAQAADwAAAAAAAAAAAAAAAABuBAAAZHJzL2Rvd25yZXYueG1sUEsFBgAAAAAEAAQA&#10;8wAAAHYFAAAAAA==&#10;" filled="f" stroked="f">
              <v:textbox style="mso-fit-shape-to-text:t" inset="20pt,0,0,15pt">
                <w:txbxContent>
                  <w:p w14:paraId="0493B251" w14:textId="312C7F67" w:rsidR="003D6C75" w:rsidRPr="003D6C75" w:rsidRDefault="003D6C75" w:rsidP="003D6C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C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5E2C" w:rsidRPr="00AE52D4">
      <w:rPr>
        <w:rFonts w:ascii="Verdana" w:hAnsi="Verdana" w:cs="Calibri"/>
        <w:b/>
        <w:bCs/>
        <w:sz w:val="14"/>
        <w:szCs w:val="14"/>
      </w:rPr>
      <w:t>ΠΕΙΡΑΙΩΣ Α.Ε.Π.Ε.Υ</w:t>
    </w:r>
  </w:p>
  <w:p w14:paraId="1827A2A6" w14:textId="77777777" w:rsidR="00285E2C" w:rsidRPr="00AE52D4" w:rsidRDefault="00285E2C" w:rsidP="00285E2C">
    <w:pPr>
      <w:jc w:val="center"/>
      <w:rPr>
        <w:rFonts w:ascii="Verdana" w:hAnsi="Verdana" w:cs="Calibri"/>
        <w:sz w:val="14"/>
        <w:szCs w:val="14"/>
        <w:lang w:val="el-GR"/>
      </w:rPr>
    </w:pPr>
    <w:r w:rsidRPr="00AE52D4">
      <w:rPr>
        <w:rFonts w:ascii="Verdana" w:hAnsi="Verdana" w:cs="Calibri"/>
        <w:iCs/>
        <w:sz w:val="14"/>
        <w:szCs w:val="14"/>
        <w:lang w:val="el-GR"/>
      </w:rPr>
      <w:t xml:space="preserve">Σταδίου 10, </w:t>
    </w:r>
    <w:r w:rsidRPr="00AE52D4">
      <w:rPr>
        <w:rFonts w:ascii="Verdana" w:hAnsi="Verdana" w:cs="Calibri"/>
        <w:sz w:val="14"/>
        <w:szCs w:val="14"/>
        <w:lang w:val="el-GR"/>
      </w:rPr>
      <w:t xml:space="preserve">105 64 Αθήνα, </w:t>
    </w:r>
    <w:proofErr w:type="spellStart"/>
    <w:r w:rsidRPr="00AE52D4">
      <w:rPr>
        <w:rFonts w:ascii="Verdana" w:hAnsi="Verdana" w:cs="Calibri"/>
        <w:sz w:val="14"/>
        <w:szCs w:val="14"/>
        <w:lang w:val="el-GR"/>
      </w:rPr>
      <w:t>Τηλ</w:t>
    </w:r>
    <w:proofErr w:type="spellEnd"/>
    <w:r w:rsidRPr="00AE52D4">
      <w:rPr>
        <w:rFonts w:ascii="Verdana" w:hAnsi="Verdana" w:cs="Calibri"/>
        <w:sz w:val="14"/>
        <w:szCs w:val="14"/>
        <w:lang w:val="el-GR"/>
      </w:rPr>
      <w:t>:  +30210 3354.100, Ε</w:t>
    </w:r>
    <w:r w:rsidRPr="00AE52D4">
      <w:rPr>
        <w:rFonts w:ascii="Verdana" w:hAnsi="Verdana" w:cs="Calibri"/>
        <w:sz w:val="14"/>
        <w:szCs w:val="14"/>
        <w:lang w:val="fr-FR"/>
      </w:rPr>
      <w:t xml:space="preserve">-mail: </w:t>
    </w:r>
    <w:hyperlink r:id="rId1" w:history="1">
      <w:r w:rsidRPr="00AE52D4">
        <w:rPr>
          <w:rStyle w:val="Hyperlink"/>
          <w:rFonts w:ascii="Verdana" w:hAnsi="Verdana" w:cs="Calibri"/>
          <w:color w:val="002F30"/>
          <w:sz w:val="14"/>
          <w:szCs w:val="14"/>
          <w:lang w:val="fr-FR"/>
        </w:rPr>
        <w:t>info@piraeus-sec.gr</w:t>
      </w:r>
    </w:hyperlink>
    <w:r w:rsidRPr="00AE52D4">
      <w:rPr>
        <w:rFonts w:ascii="Verdana" w:hAnsi="Verdana" w:cs="Calibri"/>
        <w:sz w:val="14"/>
        <w:szCs w:val="14"/>
        <w:lang w:val="fr-FR"/>
      </w:rPr>
      <w:t xml:space="preserve"> ,  http: // </w:t>
    </w:r>
    <w:hyperlink r:id="rId2" w:history="1">
      <w:r w:rsidRPr="00AE52D4">
        <w:rPr>
          <w:rStyle w:val="Hyperlink"/>
          <w:rFonts w:ascii="Verdana" w:hAnsi="Verdana" w:cs="Calibri"/>
          <w:color w:val="002F30"/>
          <w:sz w:val="14"/>
          <w:szCs w:val="14"/>
          <w:lang w:val="fr-FR"/>
        </w:rPr>
        <w:t>www.piraeus-sec.gr</w:t>
      </w:r>
    </w:hyperlink>
  </w:p>
  <w:p w14:paraId="4397883B" w14:textId="03A7E77C" w:rsidR="00285E2C" w:rsidRPr="00AE52D4" w:rsidRDefault="00285E2C" w:rsidP="00285E2C">
    <w:pPr>
      <w:jc w:val="center"/>
      <w:rPr>
        <w:rFonts w:ascii="Verdana" w:hAnsi="Verdana" w:cs="Calibri"/>
        <w:iCs/>
        <w:sz w:val="14"/>
        <w:szCs w:val="14"/>
        <w:lang w:val="el-GR"/>
      </w:rPr>
    </w:pPr>
    <w:proofErr w:type="spellStart"/>
    <w:r w:rsidRPr="00AE52D4">
      <w:rPr>
        <w:rFonts w:ascii="Verdana" w:hAnsi="Verdana" w:cs="Calibri"/>
        <w:iCs/>
        <w:sz w:val="14"/>
        <w:szCs w:val="14"/>
        <w:lang w:val="el-GR"/>
      </w:rPr>
      <w:t>Αρ.Γ.Ε.ΜΗ</w:t>
    </w:r>
    <w:proofErr w:type="spellEnd"/>
    <w:r w:rsidRPr="00AE52D4">
      <w:rPr>
        <w:rFonts w:ascii="Verdana" w:hAnsi="Verdana" w:cs="Calibri"/>
        <w:iCs/>
        <w:sz w:val="14"/>
        <w:szCs w:val="14"/>
        <w:lang w:val="el-GR"/>
      </w:rPr>
      <w:t xml:space="preserve">. 1320701000, Α.Φ.Μ. : 094285013, Δ.Ο.Υ.: </w:t>
    </w:r>
    <w:r w:rsidR="009D0CD7">
      <w:rPr>
        <w:rFonts w:ascii="Verdana" w:hAnsi="Verdana" w:cs="Calibri"/>
        <w:iCs/>
        <w:sz w:val="14"/>
        <w:szCs w:val="14"/>
        <w:lang w:val="el-GR"/>
      </w:rPr>
      <w:t>ΚΕ</w:t>
    </w:r>
    <w:r w:rsidRPr="00AE52D4">
      <w:rPr>
        <w:rFonts w:ascii="Verdana" w:hAnsi="Verdana" w:cs="Calibri"/>
        <w:iCs/>
        <w:sz w:val="14"/>
        <w:szCs w:val="14"/>
        <w:lang w:val="el-GR"/>
      </w:rPr>
      <w:t>.</w:t>
    </w:r>
    <w:r w:rsidR="009D0CD7">
      <w:rPr>
        <w:rFonts w:ascii="Verdana" w:hAnsi="Verdana" w:cs="Calibri"/>
        <w:iCs/>
        <w:sz w:val="14"/>
        <w:szCs w:val="14"/>
        <w:lang w:val="el-GR"/>
      </w:rPr>
      <w:t>ΦΟ</w:t>
    </w:r>
    <w:r w:rsidRPr="00AE52D4">
      <w:rPr>
        <w:rFonts w:ascii="Verdana" w:hAnsi="Verdana" w:cs="Calibri"/>
        <w:iCs/>
        <w:sz w:val="14"/>
        <w:szCs w:val="14"/>
        <w:lang w:val="el-GR"/>
      </w:rPr>
      <w:t>.</w:t>
    </w:r>
    <w:r w:rsidR="009D0CD7">
      <w:rPr>
        <w:rFonts w:ascii="Verdana" w:hAnsi="Verdana" w:cs="Calibri"/>
        <w:iCs/>
        <w:sz w:val="14"/>
        <w:szCs w:val="14"/>
        <w:lang w:val="el-GR"/>
      </w:rPr>
      <w:t>Δ.Ε</w:t>
    </w:r>
    <w:r w:rsidRPr="00AE52D4">
      <w:rPr>
        <w:rFonts w:ascii="Verdana" w:hAnsi="Verdana" w:cs="Calibri"/>
        <w:iCs/>
        <w:sz w:val="14"/>
        <w:szCs w:val="14"/>
        <w:lang w:val="el-GR"/>
      </w:rPr>
      <w:t xml:space="preserve">. </w:t>
    </w:r>
    <w:proofErr w:type="spellStart"/>
    <w:r w:rsidR="009D0CD7">
      <w:rPr>
        <w:rFonts w:ascii="Verdana" w:hAnsi="Verdana" w:cs="Calibri"/>
        <w:iCs/>
        <w:sz w:val="14"/>
        <w:szCs w:val="14"/>
        <w:lang w:val="el-GR"/>
      </w:rPr>
      <w:t>Αττικής</w:t>
    </w:r>
    <w:r w:rsidRPr="00AE52D4">
      <w:rPr>
        <w:rFonts w:ascii="Verdana" w:hAnsi="Verdana" w:cs="Calibri"/>
        <w:iCs/>
        <w:sz w:val="14"/>
        <w:szCs w:val="14"/>
        <w:lang w:val="el-GR"/>
      </w:rPr>
      <w:t>,Εποπτεύουσα</w:t>
    </w:r>
    <w:proofErr w:type="spellEnd"/>
    <w:r w:rsidRPr="00AE52D4">
      <w:rPr>
        <w:rFonts w:ascii="Verdana" w:hAnsi="Verdana" w:cs="Calibri"/>
        <w:iCs/>
        <w:sz w:val="14"/>
        <w:szCs w:val="14"/>
        <w:lang w:val="el-GR"/>
      </w:rPr>
      <w:t xml:space="preserve"> Αρχή: Επιτροπή Κεφαλαιαγοράς</w:t>
    </w:r>
  </w:p>
  <w:p w14:paraId="275215AE" w14:textId="77777777" w:rsidR="00285E2C" w:rsidRPr="00AE52D4" w:rsidRDefault="00285E2C" w:rsidP="00285E2C">
    <w:pPr>
      <w:jc w:val="center"/>
      <w:rPr>
        <w:rFonts w:ascii="Verdana" w:hAnsi="Verdana" w:cs="Calibri"/>
        <w:iCs/>
        <w:sz w:val="14"/>
        <w:szCs w:val="14"/>
      </w:rPr>
    </w:pPr>
    <w:proofErr w:type="spellStart"/>
    <w:r w:rsidRPr="00AE52D4">
      <w:rPr>
        <w:rFonts w:ascii="Verdana" w:hAnsi="Verdana" w:cs="Calibri"/>
        <w:iCs/>
        <w:sz w:val="14"/>
        <w:szCs w:val="14"/>
      </w:rPr>
      <w:t>Αρ</w:t>
    </w:r>
    <w:proofErr w:type="spellEnd"/>
    <w:r w:rsidRPr="00AE52D4">
      <w:rPr>
        <w:rFonts w:ascii="Verdana" w:hAnsi="Verdana" w:cs="Calibri"/>
        <w:iCs/>
        <w:sz w:val="14"/>
        <w:szCs w:val="14"/>
      </w:rPr>
      <w:t xml:space="preserve">. </w:t>
    </w:r>
    <w:proofErr w:type="spellStart"/>
    <w:r w:rsidRPr="00AE52D4">
      <w:rPr>
        <w:rFonts w:ascii="Verdana" w:hAnsi="Verdana" w:cs="Calibri"/>
        <w:iCs/>
        <w:sz w:val="14"/>
        <w:szCs w:val="14"/>
      </w:rPr>
      <w:t>Αδεί</w:t>
    </w:r>
    <w:proofErr w:type="spellEnd"/>
    <w:r w:rsidRPr="00AE52D4">
      <w:rPr>
        <w:rFonts w:ascii="Verdana" w:hAnsi="Verdana" w:cs="Calibri"/>
        <w:iCs/>
        <w:sz w:val="14"/>
        <w:szCs w:val="14"/>
      </w:rPr>
      <w:t>ας: 3/28/27.12.1989 &amp; 11/473/5.6.2008</w:t>
    </w:r>
  </w:p>
  <w:p w14:paraId="13166A50" w14:textId="77777777" w:rsidR="00285E2C" w:rsidRPr="00AE52D4" w:rsidRDefault="00285E2C" w:rsidP="00285E2C">
    <w:pPr>
      <w:jc w:val="center"/>
      <w:rPr>
        <w:rFonts w:ascii="Verdana" w:hAnsi="Verdana" w:cs="Calibri"/>
        <w:sz w:val="16"/>
        <w:szCs w:val="16"/>
        <w:lang w:val="fr-FR"/>
      </w:rPr>
    </w:pPr>
  </w:p>
  <w:p w14:paraId="5DF93815" w14:textId="77777777" w:rsidR="00285E2C" w:rsidRPr="0071562D" w:rsidRDefault="00285E2C" w:rsidP="00285E2C">
    <w:pPr>
      <w:pStyle w:val="Footer"/>
      <w:jc w:val="center"/>
      <w:rPr>
        <w:rFonts w:ascii="Verdana" w:hAnsi="Verdana"/>
        <w:lang w:val="fr-FR"/>
      </w:rPr>
    </w:pPr>
  </w:p>
  <w:p w14:paraId="2DFE7C46" w14:textId="607A5435" w:rsidR="00F719E9" w:rsidRDefault="00F719E9" w:rsidP="0038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A1FD" w14:textId="77777777" w:rsidR="0012475F" w:rsidRDefault="0012475F" w:rsidP="00307435">
      <w:r>
        <w:separator/>
      </w:r>
    </w:p>
  </w:footnote>
  <w:footnote w:type="continuationSeparator" w:id="0">
    <w:p w14:paraId="1C3672F4" w14:textId="77777777" w:rsidR="0012475F" w:rsidRDefault="0012475F" w:rsidP="0030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628D" w14:textId="2F822C54" w:rsidR="00F719E9" w:rsidRDefault="007C3AEC" w:rsidP="00924A7B">
    <w:pPr>
      <w:pStyle w:val="Header"/>
      <w:tabs>
        <w:tab w:val="clear" w:pos="4320"/>
        <w:tab w:val="clear" w:pos="8640"/>
      </w:tabs>
      <w:ind w:left="-567" w:right="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EB6995" wp14:editId="347041C3">
          <wp:simplePos x="0" y="0"/>
          <wp:positionH relativeFrom="margin">
            <wp:posOffset>1328420</wp:posOffset>
          </wp:positionH>
          <wp:positionV relativeFrom="margin">
            <wp:posOffset>-1423035</wp:posOffset>
          </wp:positionV>
          <wp:extent cx="2846070" cy="10572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7987" w14:textId="63F8AA9D" w:rsidR="00F719E9" w:rsidRDefault="00285E2C" w:rsidP="008D1D2C">
    <w:pPr>
      <w:pStyle w:val="Header"/>
      <w:tabs>
        <w:tab w:val="clear" w:pos="8640"/>
      </w:tabs>
      <w:ind w:left="-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26860" wp14:editId="6FFCDA07">
          <wp:simplePos x="0" y="0"/>
          <wp:positionH relativeFrom="margin">
            <wp:posOffset>1611630</wp:posOffset>
          </wp:positionH>
          <wp:positionV relativeFrom="margin">
            <wp:posOffset>-1365885</wp:posOffset>
          </wp:positionV>
          <wp:extent cx="2846070" cy="10572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35"/>
    <w:rsid w:val="00071FBF"/>
    <w:rsid w:val="00100BC9"/>
    <w:rsid w:val="0012475F"/>
    <w:rsid w:val="00133DDE"/>
    <w:rsid w:val="001445F3"/>
    <w:rsid w:val="001A1700"/>
    <w:rsid w:val="001E0451"/>
    <w:rsid w:val="00213AE5"/>
    <w:rsid w:val="002211FF"/>
    <w:rsid w:val="0025094C"/>
    <w:rsid w:val="00254104"/>
    <w:rsid w:val="00260460"/>
    <w:rsid w:val="00285E2C"/>
    <w:rsid w:val="002B1E16"/>
    <w:rsid w:val="002C0508"/>
    <w:rsid w:val="00303141"/>
    <w:rsid w:val="00307435"/>
    <w:rsid w:val="003452E6"/>
    <w:rsid w:val="0038279C"/>
    <w:rsid w:val="003B52FC"/>
    <w:rsid w:val="003D6C73"/>
    <w:rsid w:val="003D6C75"/>
    <w:rsid w:val="003E1BE2"/>
    <w:rsid w:val="003F3CFA"/>
    <w:rsid w:val="00423719"/>
    <w:rsid w:val="00495973"/>
    <w:rsid w:val="0049762C"/>
    <w:rsid w:val="004D389F"/>
    <w:rsid w:val="004D6B8E"/>
    <w:rsid w:val="004E5C4E"/>
    <w:rsid w:val="005334B6"/>
    <w:rsid w:val="005C4E97"/>
    <w:rsid w:val="005F1AA7"/>
    <w:rsid w:val="00632C01"/>
    <w:rsid w:val="00635A53"/>
    <w:rsid w:val="007C3AEC"/>
    <w:rsid w:val="007C3E51"/>
    <w:rsid w:val="007E27F9"/>
    <w:rsid w:val="00833542"/>
    <w:rsid w:val="008D1D2C"/>
    <w:rsid w:val="00924A7B"/>
    <w:rsid w:val="00940A55"/>
    <w:rsid w:val="00956464"/>
    <w:rsid w:val="009A5C61"/>
    <w:rsid w:val="009C4F78"/>
    <w:rsid w:val="009D0CD7"/>
    <w:rsid w:val="009F4F25"/>
    <w:rsid w:val="00A604B9"/>
    <w:rsid w:val="00AE3714"/>
    <w:rsid w:val="00AE52D4"/>
    <w:rsid w:val="00AF29B3"/>
    <w:rsid w:val="00B066AC"/>
    <w:rsid w:val="00B1782E"/>
    <w:rsid w:val="00B54B05"/>
    <w:rsid w:val="00C23AE9"/>
    <w:rsid w:val="00C26878"/>
    <w:rsid w:val="00C61902"/>
    <w:rsid w:val="00CC1184"/>
    <w:rsid w:val="00CE68B8"/>
    <w:rsid w:val="00E06555"/>
    <w:rsid w:val="00E06A11"/>
    <w:rsid w:val="00E16264"/>
    <w:rsid w:val="00E560DC"/>
    <w:rsid w:val="00ED35CD"/>
    <w:rsid w:val="00EF0F7B"/>
    <w:rsid w:val="00F5138C"/>
    <w:rsid w:val="00F66F42"/>
    <w:rsid w:val="00F705F5"/>
    <w:rsid w:val="00F719E9"/>
    <w:rsid w:val="00F859D4"/>
    <w:rsid w:val="00FC3FB1"/>
    <w:rsid w:val="00FE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68BB"/>
  <w15:docId w15:val="{41C8FC43-4977-4638-A538-AC469B0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8C"/>
    <w:rPr>
      <w:rFonts w:ascii="Piraeus Open Sans" w:hAnsi="Piraeus Open Sans"/>
      <w:color w:val="002F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4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435"/>
  </w:style>
  <w:style w:type="paragraph" w:styleId="Footer">
    <w:name w:val="footer"/>
    <w:basedOn w:val="Normal"/>
    <w:link w:val="FooterChar"/>
    <w:uiPriority w:val="99"/>
    <w:unhideWhenUsed/>
    <w:rsid w:val="003074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435"/>
  </w:style>
  <w:style w:type="paragraph" w:styleId="BalloonText">
    <w:name w:val="Balloon Text"/>
    <w:basedOn w:val="Normal"/>
    <w:link w:val="BalloonTextChar"/>
    <w:uiPriority w:val="99"/>
    <w:semiHidden/>
    <w:unhideWhenUsed/>
    <w:rsid w:val="003074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35"/>
    <w:rPr>
      <w:rFonts w:ascii="Lucida Grande" w:hAnsi="Lucida Grande"/>
      <w:sz w:val="18"/>
      <w:szCs w:val="18"/>
    </w:rPr>
  </w:style>
  <w:style w:type="character" w:styleId="Hyperlink">
    <w:name w:val="Hyperlink"/>
    <w:rsid w:val="00285E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iraeus-sec.gr/etairia/sxetika-me-emas/oikonomika%20megeth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iraeus-sec.gr/etairia/etairiki-diakyvernish/esoteriki-epopti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raeus-sec.gr/etairia/etairiki-diakyvernish/dioikitiko%20symvouli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iraeus-sec.gr/etairia/etairiki-diakyvernish/esoteriki-epoptia" TargetMode="External"/><Relationship Id="rId10" Type="http://schemas.openxmlformats.org/officeDocument/2006/relationships/hyperlink" Target="http://www.sigma.gr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info@piraeus-sec.gr" TargetMode="External"/><Relationship Id="rId14" Type="http://schemas.openxmlformats.org/officeDocument/2006/relationships/hyperlink" Target="https://www.piraeusholdings.gr/el/investors/corporate-governance/risk-managemen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gma.gr" TargetMode="External"/><Relationship Id="rId1" Type="http://schemas.openxmlformats.org/officeDocument/2006/relationships/hyperlink" Target="mailto:info@piraeus-sec.g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gma.gr" TargetMode="External"/><Relationship Id="rId1" Type="http://schemas.openxmlformats.org/officeDocument/2006/relationships/hyperlink" Target="mailto:info@piraeus-sec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4F811793260EF44BBBA610AAE0631A1" ma:contentTypeVersion="11" ma:contentTypeDescription="Δημιουργία νέου εγγράφου" ma:contentTypeScope="" ma:versionID="d5023dc491ad6b44b2d8964a0fd7f34f">
  <xsd:schema xmlns:xsd="http://www.w3.org/2001/XMLSchema" xmlns:xs="http://www.w3.org/2001/XMLSchema" xmlns:p="http://schemas.microsoft.com/office/2006/metadata/properties" xmlns:ns2="e632cfa8-83ec-4b97-a945-5ee137efb67f" xmlns:ns3="8e3c348b-d097-432b-bfc1-290f7c76665e" targetNamespace="http://schemas.microsoft.com/office/2006/metadata/properties" ma:root="true" ma:fieldsID="7a8b960a3c013f026817e8909972f17a" ns2:_="" ns3:_="">
    <xsd:import namespace="e632cfa8-83ec-4b97-a945-5ee137efb67f"/>
    <xsd:import namespace="8e3c348b-d097-432b-bfc1-290f7c76665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2cfa8-83ec-4b97-a945-5ee137efb6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9c06331-e422-4912-a6ac-3580f2546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348b-d097-432b-bfc1-290f7c76665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cfc0a8-2571-45a6-809e-fc8d426aaee2}" ma:internalName="TaxCatchAll" ma:showField="CatchAllData" ma:web="8e3c348b-d097-432b-bfc1-290f7c766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32cfa8-83ec-4b97-a945-5ee137efb67f">
      <Terms xmlns="http://schemas.microsoft.com/office/infopath/2007/PartnerControls"/>
    </lcf76f155ced4ddcb4097134ff3c332f>
    <TaxCatchAll xmlns="8e3c348b-d097-432b-bfc1-290f7c76665e" xsi:nil="true"/>
  </documentManagement>
</p:properties>
</file>

<file path=customXml/itemProps1.xml><?xml version="1.0" encoding="utf-8"?>
<ds:datastoreItem xmlns:ds="http://schemas.openxmlformats.org/officeDocument/2006/customXml" ds:itemID="{DC51A2D2-5DF8-4A2F-89DA-56678A04D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D9187-B45D-4105-881E-75321527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2cfa8-83ec-4b97-a945-5ee137efb67f"/>
    <ds:schemaRef ds:uri="8e3c348b-d097-432b-bfc1-290f7c76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06E2D-5991-4254-BB54-3CCDA59FED35}">
  <ds:schemaRefs>
    <ds:schemaRef ds:uri="http://schemas.microsoft.com/office/2006/metadata/properties"/>
    <ds:schemaRef ds:uri="http://schemas.microsoft.com/office/infopath/2007/PartnerControls"/>
    <ds:schemaRef ds:uri="e632cfa8-83ec-4b97-a945-5ee137efb67f"/>
    <ds:schemaRef ds:uri="8e3c348b-d097-432b-bfc1-290f7c7666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Eleftheriou Socratis</cp:lastModifiedBy>
  <cp:revision>7</cp:revision>
  <cp:lastPrinted>2025-05-30T10:57:00Z</cp:lastPrinted>
  <dcterms:created xsi:type="dcterms:W3CDTF">2025-03-18T09:23:00Z</dcterms:created>
  <dcterms:modified xsi:type="dcterms:W3CDTF">2025-05-30T13:44:00Z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0x01010094F811793260EF44BBBA610AAE0631A1</vt:lpwstr>
  </property>
  <property fmtid="{D5CDD505-2E9C-101B-9397-08002B2CF9AE}" pid="3" name="MSIP_Label_958c1004-b24f-4bde-8aad-2ae45b2e013d_Enabled">
    <vt:lpwstr>true</vt:lpwstr>
  </property>
  <property fmtid="{D5CDD505-2E9C-101B-9397-08002B2CF9AE}" pid="4" name="MSIP_Label_958c1004-b24f-4bde-8aad-2ae45b2e013d_SetDate">
    <vt:lpwstr>2023-06-15T10:33:10Z</vt:lpwstr>
  </property>
  <property fmtid="{D5CDD505-2E9C-101B-9397-08002B2CF9AE}" pid="5" name="MSIP_Label_958c1004-b24f-4bde-8aad-2ae45b2e013d_Method">
    <vt:lpwstr>Standard</vt:lpwstr>
  </property>
  <property fmtid="{D5CDD505-2E9C-101B-9397-08002B2CF9AE}" pid="6" name="MSIP_Label_958c1004-b24f-4bde-8aad-2ae45b2e013d_Name">
    <vt:lpwstr>Internal Use</vt:lpwstr>
  </property>
  <property fmtid="{D5CDD505-2E9C-101B-9397-08002B2CF9AE}" pid="7" name="MSIP_Label_958c1004-b24f-4bde-8aad-2ae45b2e013d_SiteId">
    <vt:lpwstr>4f1b3dbb-846d-4206-92b5-ac1cf048dbb2</vt:lpwstr>
  </property>
  <property fmtid="{D5CDD505-2E9C-101B-9397-08002B2CF9AE}" pid="8" name="MSIP_Label_958c1004-b24f-4bde-8aad-2ae45b2e013d_ActionId">
    <vt:lpwstr>c999d936-6b53-4c2a-9274-11d7583c46ff</vt:lpwstr>
  </property>
  <property fmtid="{D5CDD505-2E9C-101B-9397-08002B2CF9AE}" pid="9" name="MSIP_Label_958c1004-b24f-4bde-8aad-2ae45b2e013d_ContentBits">
    <vt:lpwstr>0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8efb773,4d9c0e0c,77d78c13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Highly Confidential Information</vt:lpwstr>
  </property>
  <property fmtid="{D5CDD505-2E9C-101B-9397-08002B2CF9AE}" pid="14" name="MSIP_Label_584fceb2-fd02-4504-bf8c-e74b21496e7b_Enabled">
    <vt:lpwstr>true</vt:lpwstr>
  </property>
  <property fmtid="{D5CDD505-2E9C-101B-9397-08002B2CF9AE}" pid="15" name="MSIP_Label_584fceb2-fd02-4504-bf8c-e74b21496e7b_SetDate">
    <vt:lpwstr>2025-03-18T09:23:27Z</vt:lpwstr>
  </property>
  <property fmtid="{D5CDD505-2E9C-101B-9397-08002B2CF9AE}" pid="16" name="MSIP_Label_584fceb2-fd02-4504-bf8c-e74b21496e7b_Method">
    <vt:lpwstr>Privileged</vt:lpwstr>
  </property>
  <property fmtid="{D5CDD505-2E9C-101B-9397-08002B2CF9AE}" pid="17" name="MSIP_Label_584fceb2-fd02-4504-bf8c-e74b21496e7b_Name">
    <vt:lpwstr>Highly Confidential Informational</vt:lpwstr>
  </property>
  <property fmtid="{D5CDD505-2E9C-101B-9397-08002B2CF9AE}" pid="18" name="MSIP_Label_584fceb2-fd02-4504-bf8c-e74b21496e7b_SiteId">
    <vt:lpwstr>a1c7b5c1-fc55-4f6a-809f-70278549fc56</vt:lpwstr>
  </property>
  <property fmtid="{D5CDD505-2E9C-101B-9397-08002B2CF9AE}" pid="19" name="MSIP_Label_584fceb2-fd02-4504-bf8c-e74b21496e7b_ActionId">
    <vt:lpwstr>18dcb7e8-b8ee-49dc-b64e-5f860c5df4a9</vt:lpwstr>
  </property>
  <property fmtid="{D5CDD505-2E9C-101B-9397-08002B2CF9AE}" pid="20" name="MSIP_Label_584fceb2-fd02-4504-bf8c-e74b21496e7b_ContentBits">
    <vt:lpwstr>2</vt:lpwstr>
  </property>
  <property fmtid="{D5CDD505-2E9C-101B-9397-08002B2CF9AE}" pid="21" name="MSIP_Label_584fceb2-fd02-4504-bf8c-e74b21496e7b_Tag">
    <vt:lpwstr>10, 0, 1, 1</vt:lpwstr>
  </property>
</Properties>
</file>